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016"/>
        <w:gridCol w:w="6339"/>
      </w:tblGrid>
      <w:tr w:rsidR="00FC57AB" w:rsidRPr="0083292E" w14:paraId="5BA169EA" w14:textId="77777777" w:rsidTr="00866A56">
        <w:trPr>
          <w:trHeight w:val="467"/>
        </w:trPr>
        <w:tc>
          <w:tcPr>
            <w:tcW w:w="42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3016"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072DCC0D" w14:textId="66A4DCD7" w:rsidR="00267060" w:rsidRDefault="00311BAE" w:rsidP="007E1555">
            <w:pPr>
              <w:jc w:val="both"/>
              <w:rPr>
                <w:color w:val="000000" w:themeColor="text1"/>
              </w:rPr>
            </w:pPr>
            <w:r w:rsidRPr="00311BAE">
              <w:rPr>
                <w:color w:val="000000" w:themeColor="text1"/>
              </w:rPr>
              <w:t>Parengto projekto tiksla</w:t>
            </w:r>
            <w:r>
              <w:rPr>
                <w:color w:val="000000" w:themeColor="text1"/>
              </w:rPr>
              <w:t>s</w:t>
            </w:r>
            <w:r w:rsidR="00267060">
              <w:rPr>
                <w:color w:val="000000" w:themeColor="text1"/>
              </w:rPr>
              <w:t>:</w:t>
            </w:r>
          </w:p>
          <w:p w14:paraId="32BF6FDA" w14:textId="77777777" w:rsidR="00907D57" w:rsidRPr="00296156" w:rsidRDefault="00907D57" w:rsidP="00907D57">
            <w:pPr>
              <w:jc w:val="both"/>
              <w:rPr>
                <w:color w:val="000000" w:themeColor="text1"/>
              </w:rPr>
            </w:pPr>
            <w:bookmarkStart w:id="0" w:name="_Hlk72155245"/>
            <w:bookmarkStart w:id="1" w:name="_Hlk532995808"/>
            <w:r w:rsidRPr="00296156">
              <w:rPr>
                <w:color w:val="000000" w:themeColor="text1"/>
              </w:rPr>
              <w:t>1. Perduoti biudžetinei įstaigai Šalčininkų r. Eišiškių gimnazijai valdyti, naudoti ir disponuoti patikėjimo teise Šalčininkų rajono savivaldybei nuosavybės teise priklausantį ir šiuo metu biudžetinės įstaigos Šalčininkų rajono Vladislavo Kozakevičiaus laisvalaikio ir sporto centro patikėjimo teise valdomą ilgalaikį turtą pagal 1 priedą.</w:t>
            </w:r>
          </w:p>
          <w:p w14:paraId="15A0F9F2" w14:textId="2FBF563D" w:rsidR="00267060" w:rsidRPr="0083292E" w:rsidRDefault="00907D57" w:rsidP="00907D57">
            <w:pPr>
              <w:jc w:val="both"/>
              <w:rPr>
                <w:color w:val="000000" w:themeColor="text1"/>
              </w:rPr>
            </w:pPr>
            <w:r w:rsidRPr="00296156">
              <w:rPr>
                <w:color w:val="000000" w:themeColor="text1"/>
              </w:rPr>
              <w:t>2. Perduoti biudžetinei įstaigai Šalčininkų r. Eišiškių muzikos mokyklai valdyti, naudoti ir disponuoti patikėjimo teise Šalčininkų rajono savivaldybei nuosavybės teise priklausantį ir šiuo metu biudžetinės įstaigos Šalčininkų r. Baltosios Vokės ,,Šilo“ gimnazijos patikėjimo teise valdomą ilgalaikį ir trumpalaikį turtą pagal 2 priedą.</w:t>
            </w:r>
            <w:bookmarkEnd w:id="0"/>
            <w:bookmarkEnd w:id="1"/>
          </w:p>
        </w:tc>
      </w:tr>
      <w:tr w:rsidR="00FC57AB" w:rsidRPr="0083292E" w14:paraId="257E452A" w14:textId="77777777" w:rsidTr="00866A56">
        <w:trPr>
          <w:trHeight w:val="619"/>
        </w:trPr>
        <w:tc>
          <w:tcPr>
            <w:tcW w:w="42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3016"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569822DC" w14:textId="7639480B" w:rsidR="00FC57AB" w:rsidRPr="0083292E" w:rsidRDefault="00267060" w:rsidP="007E1555">
            <w:pPr>
              <w:tabs>
                <w:tab w:val="left" w:pos="720"/>
              </w:tabs>
              <w:jc w:val="both"/>
              <w:rPr>
                <w:bCs/>
                <w:color w:val="000000" w:themeColor="text1"/>
              </w:rPr>
            </w:pPr>
            <w:r w:rsidRPr="00267060">
              <w:rPr>
                <w:bCs/>
                <w:color w:val="000000" w:themeColor="text1"/>
              </w:rPr>
              <w:t>Projektas parengtas vadovaujantis Lietuvos Respublikos vietos savivaldos įstatymo 1</w:t>
            </w:r>
            <w:r w:rsidR="00855BB4">
              <w:rPr>
                <w:bCs/>
                <w:color w:val="000000" w:themeColor="text1"/>
              </w:rPr>
              <w:t>5</w:t>
            </w:r>
            <w:r w:rsidRPr="00267060">
              <w:rPr>
                <w:bCs/>
                <w:color w:val="000000" w:themeColor="text1"/>
              </w:rPr>
              <w:t xml:space="preserve"> straipsnio 2 dalies 19 punktu, Lietuvos Respublikos valstybės ir savivaldybių turto valdymo, naudojimo ir disponavimo juo įstatymo 12 straipsnio 1 dalimi, remiantis Šalčininkų rajono savivaldybės turto perdavimo valdyti, naudoti ir disponuoti juo patikėjimo teise tvarkos aprašu, patvirtintu Šalčininkų rajono savivaldybės tarybos 2021 m. balandžio 29 d. sprendimu Nr. T-620 ,,Dėl Šalčininkų rajono savivaldybės turto perdavimo valdyti, naudoti ir disponuoti juo patikėjimo teise tvarkos aprašo patvirtinimo“, atsižvelgiant į biudžetin</w:t>
            </w:r>
            <w:r w:rsidR="00907D57">
              <w:rPr>
                <w:bCs/>
                <w:color w:val="000000" w:themeColor="text1"/>
              </w:rPr>
              <w:t>ių</w:t>
            </w:r>
            <w:r w:rsidRPr="00267060">
              <w:rPr>
                <w:bCs/>
                <w:color w:val="000000" w:themeColor="text1"/>
              </w:rPr>
              <w:t xml:space="preserve"> įstaig</w:t>
            </w:r>
            <w:r w:rsidR="00907D57">
              <w:rPr>
                <w:bCs/>
                <w:color w:val="000000" w:themeColor="text1"/>
              </w:rPr>
              <w:t>ų</w:t>
            </w:r>
            <w:r w:rsidRPr="00267060">
              <w:rPr>
                <w:bCs/>
                <w:color w:val="000000" w:themeColor="text1"/>
              </w:rPr>
              <w:t xml:space="preserve"> prašym</w:t>
            </w:r>
            <w:r w:rsidR="00907D57">
              <w:rPr>
                <w:bCs/>
                <w:color w:val="000000" w:themeColor="text1"/>
              </w:rPr>
              <w:t>us ir sutikimus</w:t>
            </w:r>
            <w:r w:rsidRPr="00267060">
              <w:rPr>
                <w:bCs/>
                <w:color w:val="000000" w:themeColor="text1"/>
              </w:rPr>
              <w:t>.</w:t>
            </w:r>
          </w:p>
        </w:tc>
      </w:tr>
      <w:tr w:rsidR="008B37AB" w:rsidRPr="0083292E" w14:paraId="4E2C1E9C" w14:textId="77777777" w:rsidTr="00866A56">
        <w:trPr>
          <w:trHeight w:val="619"/>
        </w:trPr>
        <w:tc>
          <w:tcPr>
            <w:tcW w:w="42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3016"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071866CB" w14:textId="0F52F952" w:rsidR="008B37AB" w:rsidRPr="0083292E" w:rsidRDefault="00311BAE" w:rsidP="008B37AB">
            <w:pPr>
              <w:tabs>
                <w:tab w:val="left" w:pos="720"/>
              </w:tabs>
              <w:jc w:val="both"/>
              <w:rPr>
                <w:bCs/>
                <w:color w:val="000000" w:themeColor="text1"/>
              </w:rPr>
            </w:pPr>
            <w:r>
              <w:rPr>
                <w:lang w:eastAsia="lt-LT"/>
              </w:rPr>
              <w:t>S</w:t>
            </w:r>
            <w:r w:rsidRPr="007D7C0E">
              <w:rPr>
                <w:lang w:eastAsia="lt-LT"/>
              </w:rPr>
              <w:t>antyki</w:t>
            </w:r>
            <w:r>
              <w:rPr>
                <w:lang w:eastAsia="lt-LT"/>
              </w:rPr>
              <w:t xml:space="preserve">ai </w:t>
            </w:r>
            <w:r w:rsidRPr="007D7C0E">
              <w:rPr>
                <w:lang w:eastAsia="lt-LT"/>
              </w:rPr>
              <w:t>reglamentuot</w:t>
            </w:r>
            <w:r>
              <w:rPr>
                <w:lang w:eastAsia="lt-LT"/>
              </w:rPr>
              <w:t>i įstatymu</w:t>
            </w:r>
            <w:r w:rsidR="00D515C7">
              <w:rPr>
                <w:lang w:eastAsia="lt-LT"/>
              </w:rPr>
              <w:t xml:space="preserve"> ir</w:t>
            </w:r>
            <w:r w:rsidR="003760C0">
              <w:rPr>
                <w:lang w:eastAsia="lt-LT"/>
              </w:rPr>
              <w:t xml:space="preserve"> </w:t>
            </w:r>
            <w:r w:rsidR="003760C0" w:rsidRPr="003760C0">
              <w:rPr>
                <w:lang w:eastAsia="lt-LT"/>
              </w:rPr>
              <w:t>Šalčininkų rajono savivaldybės turto perdavimo valdyti, naudoti ir disponuoti juo patikėjimo teise tvarkos aprašu</w:t>
            </w:r>
            <w:r w:rsidR="003760C0">
              <w:rPr>
                <w:lang w:eastAsia="lt-LT"/>
              </w:rPr>
              <w:t>, patvirtintu</w:t>
            </w:r>
            <w:r w:rsidR="003760C0" w:rsidRPr="003760C0">
              <w:rPr>
                <w:lang w:eastAsia="lt-LT"/>
              </w:rPr>
              <w:t xml:space="preserve"> </w:t>
            </w:r>
            <w:r w:rsidR="00D515C7" w:rsidRPr="00D515C7">
              <w:rPr>
                <w:lang w:eastAsia="lt-LT"/>
              </w:rPr>
              <w:t>Šalčininkų rajono savivaldybės tarybos 2021 m. balandžio 29 d. sprendimu Nr. T-620 ,,Dėl Šalčininkų rajono savivaldybės turto perdavimo valdyti, naudoti ir disponuoti juo patikėjimo teise tvarkos aprašo patvirtinimo“</w:t>
            </w:r>
            <w:r w:rsidR="00D515C7">
              <w:rPr>
                <w:lang w:eastAsia="lt-LT"/>
              </w:rPr>
              <w:t>.</w:t>
            </w:r>
          </w:p>
        </w:tc>
      </w:tr>
      <w:tr w:rsidR="008B37AB" w:rsidRPr="0083292E" w14:paraId="68CEAFFC" w14:textId="77777777" w:rsidTr="00866A56">
        <w:tc>
          <w:tcPr>
            <w:tcW w:w="42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t>4.</w:t>
            </w:r>
          </w:p>
        </w:tc>
        <w:tc>
          <w:tcPr>
            <w:tcW w:w="3016"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4160196F" w:rsidR="008B37AB" w:rsidRPr="0083292E" w:rsidRDefault="00907D57" w:rsidP="00D515C7">
            <w:pPr>
              <w:tabs>
                <w:tab w:val="left" w:pos="720"/>
              </w:tabs>
              <w:rPr>
                <w:bCs/>
                <w:color w:val="000000" w:themeColor="text1"/>
              </w:rPr>
            </w:pPr>
            <w:r>
              <w:rPr>
                <w:bCs/>
                <w:color w:val="000000" w:themeColor="text1"/>
              </w:rPr>
              <w:t>Nėra</w:t>
            </w:r>
          </w:p>
        </w:tc>
      </w:tr>
      <w:tr w:rsidR="008B37AB" w:rsidRPr="0083292E" w14:paraId="46F0C55E" w14:textId="77777777" w:rsidTr="00866A56">
        <w:tc>
          <w:tcPr>
            <w:tcW w:w="42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3016"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24F38A35" w:rsidR="008B37AB" w:rsidRPr="0083292E" w:rsidRDefault="00311BAE" w:rsidP="008B37AB">
            <w:pPr>
              <w:tabs>
                <w:tab w:val="left" w:pos="720"/>
                <w:tab w:val="left" w:pos="1067"/>
              </w:tabs>
              <w:jc w:val="both"/>
              <w:rPr>
                <w:color w:val="000000" w:themeColor="text1"/>
              </w:rPr>
            </w:pPr>
            <w:r>
              <w:rPr>
                <w:color w:val="000000" w:themeColor="text1"/>
              </w:rPr>
              <w:t>Ne</w:t>
            </w:r>
          </w:p>
        </w:tc>
      </w:tr>
      <w:tr w:rsidR="008B37AB" w:rsidRPr="0083292E" w14:paraId="3433BBC5" w14:textId="77777777" w:rsidTr="00866A56">
        <w:tc>
          <w:tcPr>
            <w:tcW w:w="42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3016"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19D5D752" w:rsidR="008B37AB" w:rsidRPr="0083292E" w:rsidRDefault="00311BAE" w:rsidP="008B37AB">
            <w:pPr>
              <w:jc w:val="both"/>
              <w:rPr>
                <w:color w:val="000000" w:themeColor="text1"/>
              </w:rPr>
            </w:pPr>
            <w:r>
              <w:rPr>
                <w:color w:val="000000" w:themeColor="text1"/>
              </w:rPr>
              <w:t>Nėra</w:t>
            </w:r>
          </w:p>
        </w:tc>
      </w:tr>
    </w:tbl>
    <w:p w14:paraId="72A2DD9E" w14:textId="77777777" w:rsidR="00866A56" w:rsidRDefault="00866A56" w:rsidP="00311BAE">
      <w:pPr>
        <w:rPr>
          <w:sz w:val="20"/>
          <w:szCs w:val="20"/>
        </w:rPr>
      </w:pPr>
    </w:p>
    <w:p w14:paraId="78100BAB" w14:textId="77777777" w:rsidR="00866A56" w:rsidRDefault="00866A56" w:rsidP="00311BAE">
      <w:pPr>
        <w:rPr>
          <w:sz w:val="20"/>
          <w:szCs w:val="20"/>
        </w:rPr>
      </w:pPr>
    </w:p>
    <w:p w14:paraId="0B029418" w14:textId="03E80B8E" w:rsidR="00941E1B" w:rsidRPr="00866A56" w:rsidRDefault="00311BAE" w:rsidP="00311BAE">
      <w:pPr>
        <w:rPr>
          <w:sz w:val="20"/>
          <w:szCs w:val="20"/>
        </w:rPr>
      </w:pPr>
      <w:r w:rsidRPr="00866A56">
        <w:rPr>
          <w:sz w:val="20"/>
          <w:szCs w:val="20"/>
        </w:rPr>
        <w:t>Karolina Ziminska, Turto valdymo skyrius, tel. Nr.: (8 380) 20 221, el. paštas: karolina.ziminska@salcininkai.lt</w:t>
      </w:r>
    </w:p>
    <w:sectPr w:rsidR="00941E1B" w:rsidRPr="00866A56" w:rsidSect="00866A56">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C5DA" w14:textId="77777777" w:rsidR="009A51AE" w:rsidRDefault="009A51AE">
      <w:r>
        <w:separator/>
      </w:r>
    </w:p>
  </w:endnote>
  <w:endnote w:type="continuationSeparator" w:id="0">
    <w:p w14:paraId="4A2E91DE" w14:textId="77777777" w:rsidR="009A51AE" w:rsidRDefault="009A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1C83" w14:textId="77777777" w:rsidR="009A51AE" w:rsidRDefault="009A51AE">
      <w:r>
        <w:separator/>
      </w:r>
    </w:p>
  </w:footnote>
  <w:footnote w:type="continuationSeparator" w:id="0">
    <w:p w14:paraId="238700F8" w14:textId="77777777" w:rsidR="009A51AE" w:rsidRDefault="009A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2410"/>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7D9"/>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060"/>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BA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256C"/>
    <w:rsid w:val="00374FD5"/>
    <w:rsid w:val="003760C0"/>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3CC9"/>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4AE7"/>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26AB"/>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E61AD"/>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4F51"/>
    <w:rsid w:val="00835B1A"/>
    <w:rsid w:val="00840053"/>
    <w:rsid w:val="008414AF"/>
    <w:rsid w:val="00844253"/>
    <w:rsid w:val="00844C4B"/>
    <w:rsid w:val="0084682B"/>
    <w:rsid w:val="008509F3"/>
    <w:rsid w:val="00852856"/>
    <w:rsid w:val="00854BEF"/>
    <w:rsid w:val="00855BB4"/>
    <w:rsid w:val="008566FD"/>
    <w:rsid w:val="008610F9"/>
    <w:rsid w:val="00861885"/>
    <w:rsid w:val="00865398"/>
    <w:rsid w:val="00865E33"/>
    <w:rsid w:val="00866A56"/>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07D57"/>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51AE"/>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2E97"/>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15C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1103"/>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3322"/>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27755"/>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2223</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2014-01-08T15:08:00Z</cp:lastPrinted>
  <dcterms:created xsi:type="dcterms:W3CDTF">2023-06-09T05:52:00Z</dcterms:created>
  <dcterms:modified xsi:type="dcterms:W3CDTF">2023-06-09T05:52:00Z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