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2F455A" w14:paraId="01C26721" w14:textId="77777777" w:rsidTr="002F455A">
        <w:tc>
          <w:tcPr>
            <w:tcW w:w="9628" w:type="dxa"/>
          </w:tcPr>
          <w:p w14:paraId="629E7D2B" w14:textId="77777777" w:rsidR="002F455A" w:rsidRDefault="002F455A" w:rsidP="00C9465F">
            <w:pPr>
              <w:jc w:val="both"/>
              <w:rPr>
                <w:rFonts w:ascii="Times New Roman" w:eastAsia="Calibri" w:hAnsi="Times New Roman"/>
                <w:sz w:val="24"/>
                <w:szCs w:val="24"/>
              </w:rPr>
            </w:pPr>
            <w:bookmarkStart w:id="0" w:name="_Hlk139896679"/>
            <w:bookmarkStart w:id="1" w:name="_Hlk146033452"/>
            <w:r w:rsidRPr="00285687">
              <w:rPr>
                <w:rFonts w:ascii="Times New Roman" w:eastAsia="Calibri" w:hAnsi="Times New Roman"/>
                <w:sz w:val="24"/>
                <w:szCs w:val="24"/>
              </w:rPr>
              <w:t>Projekto „Perėjimas nuo institucinės globos</w:t>
            </w:r>
            <w:r>
              <w:rPr>
                <w:rFonts w:ascii="Times New Roman" w:eastAsia="Calibri" w:hAnsi="Times New Roman"/>
                <w:sz w:val="24"/>
                <w:szCs w:val="24"/>
              </w:rPr>
              <w:t xml:space="preserve"> </w:t>
            </w:r>
            <w:r w:rsidRPr="00285687">
              <w:rPr>
                <w:rFonts w:ascii="Times New Roman" w:eastAsia="Calibri" w:hAnsi="Times New Roman"/>
                <w:sz w:val="24"/>
                <w:szCs w:val="24"/>
              </w:rPr>
              <w:t>prie bendruomeninių paslaugų Sostinės regione, Vidurio ir vakarų Lietuvos regione“ socialinių dirbtuvių partnerių Šalčininkų</w:t>
            </w:r>
            <w:r>
              <w:rPr>
                <w:rFonts w:ascii="Times New Roman" w:eastAsia="Calibri" w:hAnsi="Times New Roman"/>
                <w:sz w:val="24"/>
                <w:szCs w:val="24"/>
              </w:rPr>
              <w:t xml:space="preserve"> rajono savivaldybėje atrankos tvarkos aprašo </w:t>
            </w:r>
          </w:p>
          <w:p w14:paraId="7534B2F5" w14:textId="37B09FB9" w:rsidR="002F455A" w:rsidRDefault="002F455A" w:rsidP="00C9465F">
            <w:pPr>
              <w:jc w:val="both"/>
              <w:rPr>
                <w:rFonts w:ascii="Times New Roman" w:eastAsia="Calibri" w:hAnsi="Times New Roman"/>
                <w:sz w:val="24"/>
                <w:szCs w:val="24"/>
              </w:rPr>
            </w:pPr>
            <w:r>
              <w:rPr>
                <w:rFonts w:ascii="Times New Roman" w:eastAsia="Calibri" w:hAnsi="Times New Roman"/>
                <w:sz w:val="24"/>
                <w:szCs w:val="24"/>
              </w:rPr>
              <w:t>3</w:t>
            </w:r>
            <w:r>
              <w:rPr>
                <w:rFonts w:ascii="Times New Roman" w:eastAsia="Calibri" w:hAnsi="Times New Roman"/>
                <w:sz w:val="24"/>
                <w:szCs w:val="24"/>
              </w:rPr>
              <w:t xml:space="preserve"> priedas</w:t>
            </w:r>
            <w:bookmarkEnd w:id="1"/>
          </w:p>
        </w:tc>
      </w:tr>
      <w:bookmarkEnd w:id="0"/>
    </w:tbl>
    <w:p w14:paraId="2DD5B22D" w14:textId="77777777" w:rsidR="00C7517C" w:rsidRDefault="00C7517C" w:rsidP="00C7517C"/>
    <w:p w14:paraId="7A213179" w14:textId="77777777" w:rsidR="00C7517C" w:rsidRDefault="00C7517C" w:rsidP="00C7517C">
      <w:pPr>
        <w:jc w:val="center"/>
        <w:rPr>
          <w:b/>
        </w:rPr>
      </w:pPr>
      <w:r>
        <w:rPr>
          <w:b/>
        </w:rPr>
        <w:t>(Pareiškėjo atitikties deklaracijos forma)</w:t>
      </w:r>
    </w:p>
    <w:p w14:paraId="6673F9F2" w14:textId="77777777" w:rsidR="00C7517C" w:rsidRPr="00570C9E" w:rsidRDefault="00C7517C" w:rsidP="00C7517C">
      <w:pPr>
        <w:jc w:val="center"/>
        <w:rPr>
          <w:rFonts w:ascii="Times New Roman" w:hAnsi="Times New Roman"/>
          <w:b/>
        </w:rPr>
      </w:pPr>
    </w:p>
    <w:p w14:paraId="0A48B706" w14:textId="77777777" w:rsidR="00C7517C" w:rsidRDefault="00C7517C" w:rsidP="00C7517C">
      <w:pPr>
        <w:jc w:val="center"/>
        <w:rPr>
          <w:b/>
        </w:rPr>
      </w:pPr>
      <w:r>
        <w:rPr>
          <w:b/>
        </w:rPr>
        <w:t xml:space="preserve">PAREIŠKĖJO ATITIKTIES DEKLARACIJA </w:t>
      </w:r>
    </w:p>
    <w:p w14:paraId="22A20932" w14:textId="77777777" w:rsidR="00C7517C" w:rsidRDefault="00C7517C" w:rsidP="00C7517C">
      <w:pPr>
        <w:jc w:val="center"/>
        <w:rPr>
          <w:b/>
        </w:rPr>
      </w:pPr>
    </w:p>
    <w:p w14:paraId="3D47767E" w14:textId="77777777" w:rsidR="00C7517C" w:rsidRPr="00EF170D" w:rsidRDefault="00C7517C" w:rsidP="00C7517C">
      <w:pPr>
        <w:spacing w:line="360" w:lineRule="auto"/>
        <w:jc w:val="both"/>
        <w:rPr>
          <w:rFonts w:ascii="Times New Roman" w:hAnsi="Times New Roman"/>
          <w:sz w:val="24"/>
          <w:szCs w:val="24"/>
        </w:rPr>
      </w:pPr>
      <w:r w:rsidRPr="00EF170D">
        <w:rPr>
          <w:rFonts w:ascii="Times New Roman" w:hAnsi="Times New Roman"/>
          <w:sz w:val="24"/>
          <w:szCs w:val="24"/>
        </w:rPr>
        <w:t>Aš _____________________ (</w:t>
      </w:r>
      <w:r w:rsidRPr="00EF170D">
        <w:rPr>
          <w:rFonts w:ascii="Times New Roman" w:hAnsi="Times New Roman"/>
          <w:i/>
          <w:sz w:val="24"/>
          <w:szCs w:val="24"/>
        </w:rPr>
        <w:t>nurodomas atstovo vardas, pavardė</w:t>
      </w:r>
      <w:r w:rsidRPr="00EF170D">
        <w:rPr>
          <w:rFonts w:ascii="Times New Roman" w:hAnsi="Times New Roman"/>
          <w:sz w:val="24"/>
          <w:szCs w:val="24"/>
        </w:rPr>
        <w:t>) patvirtinu, kad mano atstovaujama organizacija _____________________ (</w:t>
      </w:r>
      <w:r w:rsidRPr="00EF170D">
        <w:rPr>
          <w:rFonts w:ascii="Times New Roman" w:hAnsi="Times New Roman"/>
          <w:i/>
          <w:sz w:val="24"/>
          <w:szCs w:val="24"/>
        </w:rPr>
        <w:t>nurodomas organizacijos pavadinimas. Jei deklaraciją teikia fizinis asmuo, nurodomas kokiu pagrindu yra vykdoma ūkinė komercinė veikla</w:t>
      </w:r>
      <w:r w:rsidRPr="00EF170D">
        <w:rPr>
          <w:rFonts w:ascii="Times New Roman" w:hAnsi="Times New Roman"/>
          <w:sz w:val="24"/>
          <w:szCs w:val="24"/>
        </w:rPr>
        <w:t>) atitinka ir paraiškos vertinimo metu atitiks šiuos reikalavimus (</w:t>
      </w:r>
      <w:r w:rsidRPr="00EF170D">
        <w:rPr>
          <w:rFonts w:ascii="Times New Roman" w:hAnsi="Times New Roman"/>
          <w:i/>
          <w:sz w:val="24"/>
          <w:szCs w:val="24"/>
        </w:rPr>
        <w:t>pažymima varnele, kuriuos punktus atitinka organizacija</w:t>
      </w:r>
      <w:r w:rsidRPr="00EF170D">
        <w:rPr>
          <w:rFonts w:ascii="Times New Roman" w:hAnsi="Times New Roman"/>
          <w:sz w:val="24"/>
          <w:szCs w:val="24"/>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C7517C" w:rsidRPr="00EF170D" w14:paraId="4FD60C79" w14:textId="77777777" w:rsidTr="00BC7D8D">
        <w:tc>
          <w:tcPr>
            <w:tcW w:w="6091" w:type="dxa"/>
            <w:vMerge w:val="restart"/>
            <w:shd w:val="clear" w:color="auto" w:fill="auto"/>
          </w:tcPr>
          <w:p w14:paraId="79998381" w14:textId="77777777" w:rsidR="00C7517C" w:rsidRPr="00EF170D" w:rsidRDefault="00C7517C" w:rsidP="00BC7D8D">
            <w:pPr>
              <w:spacing w:line="360" w:lineRule="auto"/>
              <w:jc w:val="both"/>
              <w:rPr>
                <w:rFonts w:ascii="Times New Roman" w:hAnsi="Times New Roman"/>
                <w:b/>
                <w:sz w:val="24"/>
                <w:szCs w:val="24"/>
              </w:rPr>
            </w:pPr>
            <w:r w:rsidRPr="00EF170D">
              <w:rPr>
                <w:rFonts w:ascii="Times New Roman" w:hAnsi="Times New Roman"/>
                <w:b/>
                <w:sz w:val="24"/>
                <w:szCs w:val="24"/>
              </w:rPr>
              <w:t>Keliamas reikalavimas</w:t>
            </w:r>
          </w:p>
        </w:tc>
        <w:tc>
          <w:tcPr>
            <w:tcW w:w="3856" w:type="dxa"/>
            <w:gridSpan w:val="3"/>
            <w:shd w:val="clear" w:color="auto" w:fill="auto"/>
          </w:tcPr>
          <w:p w14:paraId="1156F3DC" w14:textId="77777777" w:rsidR="00C7517C" w:rsidRPr="00EF170D" w:rsidRDefault="00C7517C" w:rsidP="00BC7D8D">
            <w:pPr>
              <w:spacing w:line="360" w:lineRule="auto"/>
              <w:jc w:val="both"/>
              <w:rPr>
                <w:rFonts w:ascii="Times New Roman" w:hAnsi="Times New Roman"/>
                <w:b/>
                <w:sz w:val="24"/>
                <w:szCs w:val="24"/>
              </w:rPr>
            </w:pPr>
            <w:r w:rsidRPr="00EF170D">
              <w:rPr>
                <w:rFonts w:ascii="Times New Roman" w:hAnsi="Times New Roman"/>
                <w:b/>
                <w:sz w:val="24"/>
                <w:szCs w:val="24"/>
              </w:rPr>
              <w:t>Atitiktis keliamiems reikalavimams</w:t>
            </w:r>
          </w:p>
        </w:tc>
      </w:tr>
      <w:tr w:rsidR="00C7517C" w:rsidRPr="00EF170D" w14:paraId="76C738DF" w14:textId="77777777" w:rsidTr="00BC7D8D">
        <w:tc>
          <w:tcPr>
            <w:tcW w:w="6091" w:type="dxa"/>
            <w:vMerge/>
            <w:shd w:val="clear" w:color="auto" w:fill="auto"/>
          </w:tcPr>
          <w:p w14:paraId="61A957B8" w14:textId="77777777" w:rsidR="00C7517C" w:rsidRPr="00EF170D" w:rsidRDefault="00C7517C" w:rsidP="00BC7D8D">
            <w:pPr>
              <w:spacing w:line="360" w:lineRule="auto"/>
              <w:jc w:val="both"/>
              <w:rPr>
                <w:rFonts w:ascii="Times New Roman" w:hAnsi="Times New Roman"/>
                <w:sz w:val="24"/>
                <w:szCs w:val="24"/>
              </w:rPr>
            </w:pPr>
          </w:p>
        </w:tc>
        <w:tc>
          <w:tcPr>
            <w:tcW w:w="1134" w:type="dxa"/>
            <w:shd w:val="clear" w:color="auto" w:fill="auto"/>
          </w:tcPr>
          <w:p w14:paraId="38971EE9"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t>Atitinku</w:t>
            </w:r>
          </w:p>
        </w:tc>
        <w:tc>
          <w:tcPr>
            <w:tcW w:w="1276" w:type="dxa"/>
            <w:shd w:val="clear" w:color="auto" w:fill="auto"/>
          </w:tcPr>
          <w:p w14:paraId="1889AE28"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t>Neatitinku</w:t>
            </w:r>
          </w:p>
        </w:tc>
        <w:tc>
          <w:tcPr>
            <w:tcW w:w="1446" w:type="dxa"/>
            <w:shd w:val="clear" w:color="auto" w:fill="auto"/>
          </w:tcPr>
          <w:p w14:paraId="74EB0261"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t>Netaikoma</w:t>
            </w:r>
          </w:p>
        </w:tc>
      </w:tr>
      <w:tr w:rsidR="00C7517C" w:rsidRPr="00EF170D" w14:paraId="616B457D" w14:textId="77777777" w:rsidTr="00BC7D8D">
        <w:tc>
          <w:tcPr>
            <w:tcW w:w="6091" w:type="dxa"/>
            <w:shd w:val="clear" w:color="auto" w:fill="auto"/>
          </w:tcPr>
          <w:p w14:paraId="53DDCA1B"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tc>
        <w:tc>
          <w:tcPr>
            <w:tcW w:w="1134" w:type="dxa"/>
            <w:shd w:val="clear" w:color="auto" w:fill="auto"/>
          </w:tcPr>
          <w:p w14:paraId="7E9F5AD3"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426C5BDF"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520D405E"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4A703060" w14:textId="77777777" w:rsidTr="00BC7D8D">
        <w:tc>
          <w:tcPr>
            <w:tcW w:w="6091" w:type="dxa"/>
            <w:shd w:val="clear" w:color="auto" w:fill="auto"/>
          </w:tcPr>
          <w:p w14:paraId="6B55C977"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tc>
        <w:tc>
          <w:tcPr>
            <w:tcW w:w="1134" w:type="dxa"/>
            <w:shd w:val="clear" w:color="auto" w:fill="auto"/>
          </w:tcPr>
          <w:p w14:paraId="551EBA23"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16D7BDBD"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6D96BA26"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6290C0BC" w14:textId="77777777" w:rsidTr="00BC7D8D">
        <w:tc>
          <w:tcPr>
            <w:tcW w:w="6091" w:type="dxa"/>
            <w:shd w:val="clear" w:color="auto" w:fill="auto"/>
          </w:tcPr>
          <w:p w14:paraId="4CFCB45B"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Pareiškėjo vadovas, pagrindinis akcininkas (turintis daugiau nei 50 proc. akcijų) ar savininkas, ūkinės bendrijos tikrasis narys (-</w:t>
            </w:r>
            <w:proofErr w:type="spellStart"/>
            <w:r w:rsidRPr="00EF170D">
              <w:rPr>
                <w:rFonts w:ascii="Times New Roman" w:hAnsi="Times New Roman"/>
                <w:sz w:val="24"/>
                <w:szCs w:val="24"/>
              </w:rPr>
              <w:t>iai</w:t>
            </w:r>
            <w:proofErr w:type="spellEnd"/>
            <w:r w:rsidRPr="00EF170D">
              <w:rPr>
                <w:rFonts w:ascii="Times New Roman" w:hAnsi="Times New Roman"/>
                <w:sz w:val="24"/>
                <w:szCs w:val="24"/>
              </w:rPr>
              <w:t>) ar mažosios bendrijos atstovas (-ai), turintis (-</w:t>
            </w:r>
            <w:proofErr w:type="spellStart"/>
            <w:r w:rsidRPr="00EF170D">
              <w:rPr>
                <w:rFonts w:ascii="Times New Roman" w:hAnsi="Times New Roman"/>
                <w:sz w:val="24"/>
                <w:szCs w:val="24"/>
              </w:rPr>
              <w:t>ys</w:t>
            </w:r>
            <w:proofErr w:type="spellEnd"/>
            <w:r w:rsidRPr="00EF170D">
              <w:rPr>
                <w:rFonts w:ascii="Times New Roman" w:hAnsi="Times New Roman"/>
                <w:sz w:val="24"/>
                <w:szCs w:val="24"/>
              </w:rPr>
              <w:t>) teisę juridinio asmens vardu sudaryti sandorį, ar buhalteris (-</w:t>
            </w:r>
            <w:proofErr w:type="spellStart"/>
            <w:r w:rsidRPr="00EF170D">
              <w:rPr>
                <w:rFonts w:ascii="Times New Roman" w:hAnsi="Times New Roman"/>
                <w:sz w:val="24"/>
                <w:szCs w:val="24"/>
              </w:rPr>
              <w:t>iai</w:t>
            </w:r>
            <w:proofErr w:type="spellEnd"/>
            <w:r w:rsidRPr="00EF170D">
              <w:rPr>
                <w:rFonts w:ascii="Times New Roman" w:hAnsi="Times New Roman"/>
                <w:sz w:val="24"/>
                <w:szCs w:val="24"/>
              </w:rPr>
              <w:t>), ar kitas (kiti) asmuo (asmenys), turintis (-</w:t>
            </w:r>
            <w:proofErr w:type="spellStart"/>
            <w:r w:rsidRPr="00EF170D">
              <w:rPr>
                <w:rFonts w:ascii="Times New Roman" w:hAnsi="Times New Roman"/>
                <w:sz w:val="24"/>
                <w:szCs w:val="24"/>
              </w:rPr>
              <w:t>ys</w:t>
            </w:r>
            <w:proofErr w:type="spellEnd"/>
            <w:r w:rsidRPr="00EF170D">
              <w:rPr>
                <w:rFonts w:ascii="Times New Roman" w:hAnsi="Times New Roman"/>
                <w:sz w:val="24"/>
                <w:szCs w:val="24"/>
              </w:rPr>
              <w:t xml:space="preserve">)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w:t>
            </w:r>
            <w:r w:rsidRPr="00EF170D">
              <w:rPr>
                <w:rFonts w:ascii="Times New Roman" w:hAnsi="Times New Roman"/>
                <w:sz w:val="24"/>
                <w:szCs w:val="24"/>
              </w:rPr>
              <w:lastRenderedPageBreak/>
              <w:t>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tc>
        <w:tc>
          <w:tcPr>
            <w:tcW w:w="1134" w:type="dxa"/>
            <w:shd w:val="clear" w:color="auto" w:fill="auto"/>
          </w:tcPr>
          <w:p w14:paraId="159FECF7"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lastRenderedPageBreak/>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33527468"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7D4887DA"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505CA1E4" w14:textId="77777777" w:rsidTr="00BC7D8D">
        <w:tc>
          <w:tcPr>
            <w:tcW w:w="6091" w:type="dxa"/>
            <w:shd w:val="clear" w:color="auto" w:fill="auto"/>
          </w:tcPr>
          <w:p w14:paraId="663EE6F4"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Pareiškėjui, jei jis perkėlė gamybinę veiklą valstybėje narėje arba į kitą valstybę narę, nėra taikoma arba nebuvo taikoma išieškojimo procedūra (ši nuostata netaikoma viešiesiems juridiniams asmenims).</w:t>
            </w:r>
          </w:p>
        </w:tc>
        <w:tc>
          <w:tcPr>
            <w:tcW w:w="1134" w:type="dxa"/>
            <w:shd w:val="clear" w:color="auto" w:fill="auto"/>
          </w:tcPr>
          <w:p w14:paraId="162F05BF"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24FC2177"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779CAB18"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29DB8B5E" w14:textId="77777777" w:rsidTr="00BC7D8D">
        <w:tc>
          <w:tcPr>
            <w:tcW w:w="6091" w:type="dxa"/>
            <w:shd w:val="clear" w:color="auto" w:fill="auto"/>
          </w:tcPr>
          <w:p w14:paraId="0CBB9082"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Pareiškėjui nėra taikomas apribojimas (iki 5 metų) neskirti Europos Sąjungos finansinės paramos dėl trečiųjų šalių piliečių nelegalaus įdarbinimo (ši nuostata netaikoma viešiesiems juridiniams asmenims).</w:t>
            </w:r>
          </w:p>
        </w:tc>
        <w:tc>
          <w:tcPr>
            <w:tcW w:w="1134" w:type="dxa"/>
            <w:shd w:val="clear" w:color="auto" w:fill="auto"/>
          </w:tcPr>
          <w:p w14:paraId="12A37531"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23D3817D"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041B6417"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5C43534D" w14:textId="77777777" w:rsidTr="00BC7D8D">
        <w:tc>
          <w:tcPr>
            <w:tcW w:w="6091" w:type="dxa"/>
            <w:shd w:val="clear" w:color="auto" w:fill="auto"/>
          </w:tcPr>
          <w:p w14:paraId="667E53C9"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tc>
        <w:tc>
          <w:tcPr>
            <w:tcW w:w="1134" w:type="dxa"/>
            <w:shd w:val="clear" w:color="auto" w:fill="auto"/>
          </w:tcPr>
          <w:p w14:paraId="17614088"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08F55436"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46AC54F0"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4AB4CDA3" w14:textId="77777777" w:rsidTr="00BC7D8D">
        <w:tc>
          <w:tcPr>
            <w:tcW w:w="6091" w:type="dxa"/>
            <w:shd w:val="clear" w:color="auto" w:fill="auto"/>
          </w:tcPr>
          <w:p w14:paraId="1DDFA231"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 xml:space="preserve">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w:t>
            </w:r>
            <w:r w:rsidRPr="00EF170D">
              <w:rPr>
                <w:rFonts w:ascii="Times New Roman" w:hAnsi="Times New Roman"/>
                <w:sz w:val="24"/>
                <w:szCs w:val="24"/>
              </w:rPr>
              <w:lastRenderedPageBreak/>
              <w:t>fizinis asmuo; ši nuostata taikoma tik tais atvejais, kai finansines ataskaitas būtina rengti pagal įstatymus, taikomus juridiniam asmeniui, užsienio juridiniam asmeniui ar kitai organizacijai arba jų filialui).</w:t>
            </w:r>
          </w:p>
        </w:tc>
        <w:tc>
          <w:tcPr>
            <w:tcW w:w="1134" w:type="dxa"/>
            <w:shd w:val="clear" w:color="auto" w:fill="auto"/>
          </w:tcPr>
          <w:p w14:paraId="275DF6E3"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lastRenderedPageBreak/>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5AD52812"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3E6F30ED"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r w:rsidR="00C7517C" w:rsidRPr="00EF170D" w14:paraId="1581D0A5" w14:textId="77777777" w:rsidTr="00BC7D8D">
        <w:tc>
          <w:tcPr>
            <w:tcW w:w="6091" w:type="dxa"/>
            <w:shd w:val="clear" w:color="auto" w:fill="auto"/>
          </w:tcPr>
          <w:p w14:paraId="1541C261" w14:textId="77777777" w:rsidR="00C7517C" w:rsidRPr="00EF170D" w:rsidRDefault="00C7517C" w:rsidP="00BC7D8D">
            <w:pPr>
              <w:rPr>
                <w:rFonts w:ascii="Times New Roman" w:hAnsi="Times New Roman"/>
                <w:sz w:val="24"/>
                <w:szCs w:val="24"/>
              </w:rPr>
            </w:pPr>
            <w:r w:rsidRPr="00EF170D">
              <w:rPr>
                <w:rFonts w:ascii="Times New Roman" w:hAnsi="Times New Roman"/>
                <w:sz w:val="24"/>
                <w:szCs w:val="24"/>
              </w:rPr>
              <w:t>Patvirtinu, kad jungtinės veiklos sutarčiai įgyvendinti turiu ar pasitelksiu pakankamus žmogiškuosius ir 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14:paraId="16CAC6C0"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276" w:type="dxa"/>
            <w:shd w:val="clear" w:color="auto" w:fill="auto"/>
          </w:tcPr>
          <w:p w14:paraId="7C378079"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c>
          <w:tcPr>
            <w:tcW w:w="1446" w:type="dxa"/>
            <w:shd w:val="clear" w:color="auto" w:fill="auto"/>
          </w:tcPr>
          <w:p w14:paraId="7848A228" w14:textId="77777777" w:rsidR="00C7517C" w:rsidRPr="00EF170D" w:rsidRDefault="00C7517C" w:rsidP="00BC7D8D">
            <w:pPr>
              <w:spacing w:line="360" w:lineRule="auto"/>
              <w:jc w:val="both"/>
              <w:rPr>
                <w:rFonts w:ascii="Times New Roman" w:hAnsi="Times New Roman"/>
                <w:sz w:val="24"/>
                <w:szCs w:val="24"/>
              </w:rPr>
            </w:pPr>
            <w:r w:rsidRPr="00EF170D">
              <w:rPr>
                <w:rFonts w:ascii="Times New Roman" w:hAnsi="Times New Roman"/>
                <w:sz w:val="24"/>
                <w:szCs w:val="24"/>
              </w:rPr>
              <w:fldChar w:fldCharType="begin" w:fldLock="1">
                <w:ffData>
                  <w:name w:val="Check1"/>
                  <w:enabled/>
                  <w:calcOnExit w:val="0"/>
                  <w:checkBox>
                    <w:sizeAuto/>
                    <w:default w:val="0"/>
                  </w:checkBox>
                </w:ffData>
              </w:fldChar>
            </w:r>
            <w:r w:rsidRPr="00EF170D">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EF170D">
              <w:rPr>
                <w:rFonts w:ascii="Times New Roman" w:hAnsi="Times New Roman"/>
                <w:sz w:val="24"/>
                <w:szCs w:val="24"/>
              </w:rPr>
              <w:fldChar w:fldCharType="end"/>
            </w:r>
          </w:p>
        </w:tc>
      </w:tr>
    </w:tbl>
    <w:p w14:paraId="302E0403" w14:textId="77777777" w:rsidR="00C7517C" w:rsidRPr="00EF170D" w:rsidRDefault="00C7517C" w:rsidP="00C7517C">
      <w:pPr>
        <w:spacing w:line="360" w:lineRule="auto"/>
        <w:jc w:val="both"/>
        <w:rPr>
          <w:rFonts w:ascii="Times New Roman" w:hAnsi="Times New Roman"/>
          <w:sz w:val="24"/>
          <w:szCs w:val="24"/>
        </w:rPr>
      </w:pPr>
    </w:p>
    <w:p w14:paraId="705CB829" w14:textId="77777777" w:rsidR="00C7517C" w:rsidRPr="00EF170D" w:rsidRDefault="00C7517C" w:rsidP="00C7517C">
      <w:pPr>
        <w:spacing w:line="360" w:lineRule="auto"/>
        <w:jc w:val="both"/>
        <w:rPr>
          <w:rFonts w:ascii="Times New Roman" w:hAnsi="Times New Roman"/>
          <w:sz w:val="24"/>
          <w:szCs w:val="24"/>
        </w:rPr>
      </w:pPr>
      <w:r w:rsidRPr="00EF170D">
        <w:rPr>
          <w:rFonts w:ascii="Times New Roman" w:hAnsi="Times New Roman"/>
          <w:sz w:val="24"/>
          <w:szCs w:val="24"/>
        </w:rPr>
        <w:t>Patvirtinu:</w:t>
      </w:r>
    </w:p>
    <w:p w14:paraId="3011EB44" w14:textId="77777777" w:rsidR="00C7517C" w:rsidRPr="00EF170D" w:rsidRDefault="00C7517C" w:rsidP="00C7517C">
      <w:pPr>
        <w:spacing w:line="360" w:lineRule="auto"/>
        <w:jc w:val="both"/>
        <w:rPr>
          <w:rFonts w:ascii="Times New Roman" w:hAnsi="Times New Roman"/>
          <w:sz w:val="24"/>
          <w:szCs w:val="24"/>
        </w:rPr>
      </w:pPr>
      <w:r w:rsidRPr="00EF170D">
        <w:rPr>
          <w:rFonts w:ascii="Times New Roman" w:hAnsi="Times New Roman"/>
          <w:sz w:val="24"/>
          <w:szCs w:val="24"/>
        </w:rPr>
        <w:t>- kad atitinku Aprašo 11.2 – 11.9 punkto nuostatų reikalavimus pateikdamas paraišką projekto partnerių atrankai.</w:t>
      </w:r>
    </w:p>
    <w:p w14:paraId="3A7B589C" w14:textId="77777777" w:rsidR="00C7517C" w:rsidRPr="00EF170D" w:rsidRDefault="00C7517C" w:rsidP="00C7517C">
      <w:pPr>
        <w:spacing w:line="360" w:lineRule="auto"/>
        <w:jc w:val="both"/>
        <w:rPr>
          <w:rFonts w:ascii="Times New Roman" w:hAnsi="Times New Roman"/>
          <w:sz w:val="24"/>
          <w:szCs w:val="24"/>
        </w:rPr>
      </w:pPr>
      <w:r w:rsidRPr="00EF170D">
        <w:rPr>
          <w:rFonts w:ascii="Times New Roman" w:hAnsi="Times New Roman"/>
          <w:sz w:val="24"/>
          <w:szCs w:val="24"/>
        </w:rPr>
        <w:t>- kad tapus projekto partneriu atitiksiu Aprašo 11.2 – 11.9 punkto nuostatų reikalavimus paraiškos pateikimo dienai t. y. kai Neįgaliųjų reikalų departamentas prie Socialinės apsaugos ir darbo ministerijos</w:t>
      </w:r>
      <w:r w:rsidRPr="00EF170D">
        <w:rPr>
          <w:rFonts w:ascii="Times New Roman" w:hAnsi="Times New Roman"/>
          <w:i/>
          <w:sz w:val="24"/>
          <w:szCs w:val="24"/>
        </w:rPr>
        <w:t xml:space="preserve"> </w:t>
      </w:r>
      <w:r w:rsidRPr="00EF170D">
        <w:rPr>
          <w:rFonts w:ascii="Times New Roman" w:hAnsi="Times New Roman"/>
          <w:sz w:val="24"/>
          <w:szCs w:val="24"/>
        </w:rPr>
        <w:t xml:space="preserve">teiks Projekto įgyvendinimo planą Viešajai įstaigai Centrinei projektų valdymo agentūrai pagal 5.1 </w:t>
      </w:r>
      <w:proofErr w:type="spellStart"/>
      <w:r w:rsidRPr="00EF170D">
        <w:rPr>
          <w:rFonts w:ascii="Times New Roman" w:hAnsi="Times New Roman"/>
          <w:sz w:val="24"/>
          <w:szCs w:val="24"/>
        </w:rPr>
        <w:t>poveiklės</w:t>
      </w:r>
      <w:proofErr w:type="spellEnd"/>
      <w:r w:rsidRPr="00EF170D">
        <w:rPr>
          <w:rFonts w:ascii="Times New Roman" w:hAnsi="Times New Roman"/>
          <w:sz w:val="24"/>
          <w:szCs w:val="24"/>
        </w:rPr>
        <w:t xml:space="preserve"> „Užtikrinti perėjimą nuo institucinės globos prie bendruomeninių paslaugų Sostinės regione“ ir 5.2 </w:t>
      </w:r>
      <w:proofErr w:type="spellStart"/>
      <w:r w:rsidRPr="00EF170D">
        <w:rPr>
          <w:rFonts w:ascii="Times New Roman" w:hAnsi="Times New Roman"/>
          <w:sz w:val="24"/>
          <w:szCs w:val="24"/>
        </w:rPr>
        <w:t>poveiklės</w:t>
      </w:r>
      <w:proofErr w:type="spellEnd"/>
      <w:r w:rsidRPr="00EF170D">
        <w:rPr>
          <w:rFonts w:ascii="Times New Roman" w:hAnsi="Times New Roman"/>
          <w:sz w:val="24"/>
          <w:szCs w:val="24"/>
        </w:rPr>
        <w:t xml:space="preserve"> „Užtikrinti perėjimą nuo institucinės globos prie bendruomeninių paslaugų Vidurio ir vakarų Lietuvos regione“ ir Viešajai įstaigai Centrinei projektų valdymo agentūrai ir / arba Neįgaliųjų reikalų departamentui prie Socialinės apsaugos ir darbo ministerijos paprašius per nustatytą terminą pateiksiu tai įrodančias atsakingų institucijų pažymas.</w:t>
      </w:r>
    </w:p>
    <w:p w14:paraId="29032866" w14:textId="77777777" w:rsidR="00C7517C" w:rsidRPr="00EF170D" w:rsidRDefault="00C7517C" w:rsidP="00C7517C">
      <w:pPr>
        <w:spacing w:line="360" w:lineRule="auto"/>
        <w:jc w:val="both"/>
        <w:rPr>
          <w:rFonts w:ascii="Times New Roman" w:hAnsi="Times New Roman"/>
          <w:sz w:val="24"/>
          <w:szCs w:val="24"/>
        </w:rPr>
      </w:pPr>
    </w:p>
    <w:p w14:paraId="79318EB8" w14:textId="77777777" w:rsidR="00C7517C" w:rsidRPr="00EF170D" w:rsidRDefault="00C7517C" w:rsidP="00C7517C">
      <w:pPr>
        <w:spacing w:line="360" w:lineRule="auto"/>
        <w:jc w:val="both"/>
        <w:rPr>
          <w:rFonts w:ascii="Times New Roman" w:hAnsi="Times New Roman"/>
          <w:sz w:val="24"/>
          <w:szCs w:val="24"/>
        </w:rPr>
      </w:pPr>
      <w:r w:rsidRPr="00EF170D">
        <w:rPr>
          <w:rFonts w:ascii="Times New Roman" w:hAnsi="Times New Roman"/>
          <w:sz w:val="24"/>
          <w:szCs w:val="24"/>
        </w:rPr>
        <w:t>Sutinku, kad paaiškėjus, jog mano organizacija neatitinka aprašo 11.2 – 11.9 punktų reikalavimų, būsiu pašalintas iš projekto partnerių.</w:t>
      </w:r>
    </w:p>
    <w:p w14:paraId="7D3D157D" w14:textId="77777777" w:rsidR="00C7517C" w:rsidRPr="00EF170D" w:rsidRDefault="00C7517C" w:rsidP="00C7517C">
      <w:pPr>
        <w:jc w:val="both"/>
        <w:rPr>
          <w:rFonts w:ascii="Times New Roman" w:hAnsi="Times New Roman"/>
          <w:sz w:val="24"/>
          <w:szCs w:val="24"/>
        </w:rPr>
      </w:pPr>
    </w:p>
    <w:p w14:paraId="2B6E44F0" w14:textId="5E718B19" w:rsidR="00C7517C" w:rsidRPr="00EF170D" w:rsidRDefault="00C7517C" w:rsidP="00C7517C">
      <w:pPr>
        <w:jc w:val="both"/>
        <w:rPr>
          <w:rFonts w:ascii="Times New Roman" w:hAnsi="Times New Roman"/>
          <w:sz w:val="24"/>
          <w:szCs w:val="24"/>
        </w:rPr>
      </w:pPr>
      <w:r w:rsidRPr="002F455A">
        <w:rPr>
          <w:rFonts w:ascii="Times New Roman" w:hAnsi="Times New Roman"/>
          <w:sz w:val="24"/>
          <w:szCs w:val="24"/>
        </w:rPr>
        <w:t>_____________</w:t>
      </w:r>
      <w:r w:rsidRPr="00EF170D">
        <w:rPr>
          <w:rFonts w:ascii="Times New Roman" w:hAnsi="Times New Roman"/>
          <w:sz w:val="24"/>
          <w:szCs w:val="24"/>
        </w:rPr>
        <w:t xml:space="preserve">____                      </w:t>
      </w:r>
      <w:r w:rsidRPr="002F455A">
        <w:rPr>
          <w:rFonts w:ascii="Times New Roman" w:hAnsi="Times New Roman"/>
          <w:sz w:val="24"/>
          <w:szCs w:val="24"/>
        </w:rPr>
        <w:t>__________________                               ___________</w:t>
      </w:r>
      <w:r w:rsidR="002F455A">
        <w:rPr>
          <w:rFonts w:ascii="Times New Roman" w:hAnsi="Times New Roman"/>
          <w:sz w:val="24"/>
          <w:szCs w:val="24"/>
        </w:rPr>
        <w:t>_____</w:t>
      </w:r>
    </w:p>
    <w:p w14:paraId="3F199F8B" w14:textId="780D9E8F" w:rsidR="0098038D" w:rsidRDefault="002F455A" w:rsidP="00C7517C">
      <w:r>
        <w:rPr>
          <w:rFonts w:ascii="Times New Roman" w:hAnsi="Times New Roman"/>
          <w:sz w:val="24"/>
          <w:szCs w:val="24"/>
        </w:rPr>
        <w:t xml:space="preserve">        </w:t>
      </w:r>
      <w:r w:rsidR="00C7517C">
        <w:rPr>
          <w:rFonts w:ascii="Times New Roman" w:hAnsi="Times New Roman"/>
          <w:sz w:val="24"/>
          <w:szCs w:val="24"/>
        </w:rPr>
        <w:t xml:space="preserve">Pareigos </w:t>
      </w:r>
      <w:r w:rsidR="00C7517C">
        <w:rPr>
          <w:rFonts w:ascii="Times New Roman" w:hAnsi="Times New Roman"/>
          <w:sz w:val="24"/>
          <w:szCs w:val="24"/>
        </w:rPr>
        <w:tab/>
      </w:r>
      <w:r w:rsidR="00C7517C">
        <w:rPr>
          <w:rFonts w:ascii="Times New Roman" w:hAnsi="Times New Roman"/>
          <w:sz w:val="24"/>
          <w:szCs w:val="24"/>
        </w:rPr>
        <w:tab/>
        <w:t xml:space="preserve"> </w:t>
      </w:r>
      <w:r w:rsidR="00C7517C" w:rsidRPr="00EF170D">
        <w:rPr>
          <w:rFonts w:ascii="Times New Roman" w:hAnsi="Times New Roman"/>
          <w:sz w:val="24"/>
          <w:szCs w:val="24"/>
        </w:rPr>
        <w:t>Parašas</w:t>
      </w:r>
      <w:r w:rsidR="00C7517C">
        <w:rPr>
          <w:rFonts w:ascii="Times New Roman" w:hAnsi="Times New Roman"/>
          <w:sz w:val="24"/>
          <w:szCs w:val="24"/>
        </w:rPr>
        <w:t xml:space="preserve">      </w:t>
      </w:r>
      <w:r w:rsidR="00C7517C">
        <w:rPr>
          <w:rFonts w:ascii="Times New Roman" w:hAnsi="Times New Roman"/>
          <w:sz w:val="24"/>
          <w:szCs w:val="24"/>
        </w:rPr>
        <w:tab/>
      </w:r>
      <w:r w:rsidR="00C7517C">
        <w:rPr>
          <w:rFonts w:ascii="Times New Roman" w:hAnsi="Times New Roman"/>
          <w:sz w:val="24"/>
          <w:szCs w:val="24"/>
        </w:rPr>
        <w:tab/>
        <w:t xml:space="preserve">                 </w:t>
      </w:r>
      <w:r w:rsidR="00C7517C" w:rsidRPr="00EF170D">
        <w:rPr>
          <w:rFonts w:ascii="Times New Roman" w:hAnsi="Times New Roman"/>
          <w:sz w:val="24"/>
          <w:szCs w:val="24"/>
        </w:rPr>
        <w:t>Vardas, pavardė</w:t>
      </w:r>
      <w:r w:rsidR="00C7517C" w:rsidRPr="00EF170D">
        <w:rPr>
          <w:rFonts w:ascii="Times New Roman" w:hAnsi="Times New Roman"/>
          <w:sz w:val="24"/>
          <w:szCs w:val="24"/>
        </w:rPr>
        <w:tab/>
      </w:r>
    </w:p>
    <w:sectPr w:rsidR="0098038D" w:rsidSect="00C751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7C"/>
    <w:rsid w:val="002F455A"/>
    <w:rsid w:val="00570C9E"/>
    <w:rsid w:val="0098038D"/>
    <w:rsid w:val="00C7517C"/>
    <w:rsid w:val="00FB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5414"/>
  <w15:chartTrackingRefBased/>
  <w15:docId w15:val="{ADFD4232-F074-4F15-84E5-FB332DF5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517C"/>
    <w:pPr>
      <w:suppressAutoHyphens/>
      <w:autoSpaceDN w:val="0"/>
      <w:spacing w:after="0" w:line="240" w:lineRule="auto"/>
      <w:textAlignment w:val="baseline"/>
    </w:pPr>
    <w:rPr>
      <w:rFonts w:ascii="TimesLT" w:eastAsia="Times New Roman" w:hAnsi="TimesLT"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4729</Words>
  <Characters>2696</Characters>
  <Application>Microsoft Office Word</Application>
  <DocSecurity>0</DocSecurity>
  <Lines>22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Ozarovskaja</dc:creator>
  <cp:keywords/>
  <dc:description/>
  <cp:lastModifiedBy>Liudmila Ozarovskaja</cp:lastModifiedBy>
  <cp:revision>4</cp:revision>
  <dcterms:created xsi:type="dcterms:W3CDTF">2023-09-14T10:52:00Z</dcterms:created>
  <dcterms:modified xsi:type="dcterms:W3CDTF">2023-09-19T13:34:00Z</dcterms:modified>
</cp:coreProperties>
</file>