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E961" w14:textId="77777777" w:rsidR="00A35DCC" w:rsidRDefault="00A35DCC" w:rsidP="00A35DCC">
      <w:pPr>
        <w:ind w:left="1002" w:right="749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AIŠKINAMASIS RAŠTAS</w:t>
      </w:r>
    </w:p>
    <w:p w14:paraId="462E1BA2" w14:textId="77777777" w:rsidR="00A35DCC" w:rsidRDefault="00A35DCC" w:rsidP="00A35DCC">
      <w:pPr>
        <w:rPr>
          <w:color w:val="000000"/>
          <w:sz w:val="27"/>
          <w:szCs w:val="27"/>
        </w:rPr>
      </w:pPr>
      <w:r>
        <w:rPr>
          <w:color w:val="000000"/>
          <w:sz w:val="10"/>
          <w:szCs w:val="10"/>
        </w:rPr>
        <w:t> </w:t>
      </w:r>
    </w:p>
    <w:p w14:paraId="028FD7A5" w14:textId="635076BB" w:rsidR="00A35DCC" w:rsidRDefault="00A35DCC" w:rsidP="00AC5325">
      <w:bookmarkStart w:id="0" w:name="part_ccd42584d2784a48816a269a5aaa6399"/>
      <w:bookmarkStart w:id="1" w:name="part_798b9af3155b477381aceeefc0c077f4"/>
      <w:bookmarkEnd w:id="0"/>
      <w:bookmarkEnd w:id="1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6798"/>
      </w:tblGrid>
      <w:tr w:rsidR="00B50B76" w14:paraId="263F3863" w14:textId="77777777" w:rsidTr="00FB7012">
        <w:trPr>
          <w:trHeight w:val="1408"/>
        </w:trPr>
        <w:tc>
          <w:tcPr>
            <w:tcW w:w="562" w:type="dxa"/>
          </w:tcPr>
          <w:p w14:paraId="2C4AE632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268" w:type="dxa"/>
          </w:tcPr>
          <w:p w14:paraId="506DC6C2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Parengto </w:t>
            </w:r>
            <w:r w:rsidRPr="00F8492E">
              <w:rPr>
                <w:bCs/>
              </w:rPr>
              <w:t>projekto tikslai, uždaviniai</w:t>
            </w:r>
            <w:r>
              <w:rPr>
                <w:bCs/>
              </w:rPr>
              <w:t>, laukiami rezultatai</w:t>
            </w:r>
          </w:p>
        </w:tc>
        <w:tc>
          <w:tcPr>
            <w:tcW w:w="6798" w:type="dxa"/>
          </w:tcPr>
          <w:p w14:paraId="3F6BD10A" w14:textId="2C9C8DFE" w:rsidR="00C06FE0" w:rsidRPr="00365D21" w:rsidRDefault="006C65F7" w:rsidP="00365D21">
            <w:pPr>
              <w:spacing w:line="259" w:lineRule="auto"/>
              <w:jc w:val="both"/>
              <w:rPr>
                <w:b/>
                <w:bCs/>
              </w:rPr>
            </w:pPr>
            <w:r w:rsidRPr="006C65F7">
              <w:rPr>
                <w:shd w:val="clear" w:color="auto" w:fill="FFFFFC"/>
              </w:rPr>
              <w:t xml:space="preserve">Sprendimo projekto (toliau – Projektas) tikslas – pakeisti </w:t>
            </w:r>
            <w:r>
              <w:rPr>
                <w:shd w:val="clear" w:color="auto" w:fill="FFFFFC"/>
              </w:rPr>
              <w:t xml:space="preserve">Šalčininkų </w:t>
            </w:r>
            <w:r w:rsidRPr="006C65F7">
              <w:rPr>
                <w:shd w:val="clear" w:color="auto" w:fill="FFFFFC"/>
              </w:rPr>
              <w:t>rajono savivaldybės atliekų tvarkymo taisykl</w:t>
            </w:r>
            <w:r>
              <w:rPr>
                <w:shd w:val="clear" w:color="auto" w:fill="FFFFFC"/>
              </w:rPr>
              <w:t>ių atitinkamus punktus</w:t>
            </w:r>
            <w:r w:rsidRPr="006C65F7">
              <w:rPr>
                <w:shd w:val="clear" w:color="auto" w:fill="FFFFFC"/>
              </w:rPr>
              <w:t>, patvirtint</w:t>
            </w:r>
            <w:r>
              <w:rPr>
                <w:shd w:val="clear" w:color="auto" w:fill="FFFFFC"/>
              </w:rPr>
              <w:t>u</w:t>
            </w:r>
            <w:r w:rsidRPr="006C65F7">
              <w:rPr>
                <w:shd w:val="clear" w:color="auto" w:fill="FFFFFC"/>
              </w:rPr>
              <w:t>s Š</w:t>
            </w:r>
            <w:r>
              <w:rPr>
                <w:shd w:val="clear" w:color="auto" w:fill="FFFFFC"/>
              </w:rPr>
              <w:t>alčininkų</w:t>
            </w:r>
            <w:r w:rsidRPr="006C65F7">
              <w:rPr>
                <w:shd w:val="clear" w:color="auto" w:fill="FFFFFC"/>
              </w:rPr>
              <w:t xml:space="preserve"> rajono savivaldybės tarybos 2022 m. lapkričio 29 d. sprendimu Nr. T-998  „Dėl Šalčininkų rajono savivaldybės atliekų tvarkymo taisyklių patvirtinimo“ (toliau – Taisyklės</w:t>
            </w:r>
            <w:r w:rsidR="00A54A47">
              <w:rPr>
                <w:shd w:val="clear" w:color="auto" w:fill="FFFFFC"/>
              </w:rPr>
              <w:t>)</w:t>
            </w:r>
            <w:r w:rsidRPr="006C65F7">
              <w:rPr>
                <w:shd w:val="clear" w:color="auto" w:fill="FFFFFC"/>
              </w:rPr>
              <w:t xml:space="preserve"> Taisykl</w:t>
            </w:r>
            <w:r>
              <w:rPr>
                <w:shd w:val="clear" w:color="auto" w:fill="FFFFFC"/>
              </w:rPr>
              <w:t>ių atitinkamų punktų</w:t>
            </w:r>
            <w:r w:rsidRPr="006C65F7">
              <w:rPr>
                <w:shd w:val="clear" w:color="auto" w:fill="FFFFFC"/>
              </w:rPr>
              <w:t xml:space="preserve"> kei</w:t>
            </w:r>
            <w:r>
              <w:rPr>
                <w:shd w:val="clear" w:color="auto" w:fill="FFFFFC"/>
              </w:rPr>
              <w:t>timas</w:t>
            </w:r>
            <w:r w:rsidRPr="006C65F7">
              <w:rPr>
                <w:shd w:val="clear" w:color="auto" w:fill="FFFFFC"/>
              </w:rPr>
              <w:t xml:space="preserve"> dėl pasikeitusio komunalinių atliekų tvarkymo teisinio reguliavimo.</w:t>
            </w:r>
          </w:p>
        </w:tc>
      </w:tr>
      <w:tr w:rsidR="00B50B76" w14:paraId="31D5EC9D" w14:textId="77777777" w:rsidTr="00FB7012">
        <w:tc>
          <w:tcPr>
            <w:tcW w:w="562" w:type="dxa"/>
          </w:tcPr>
          <w:p w14:paraId="6262F9F1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268" w:type="dxa"/>
          </w:tcPr>
          <w:p w14:paraId="0A1B7370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Išsamus faktinis ir teisinis pagrindas, siūlomos teisinio reguliavimo nuostatos</w:t>
            </w:r>
          </w:p>
        </w:tc>
        <w:tc>
          <w:tcPr>
            <w:tcW w:w="6798" w:type="dxa"/>
          </w:tcPr>
          <w:p w14:paraId="54D95D1C" w14:textId="12930F28" w:rsidR="00B50B76" w:rsidRPr="000541A0" w:rsidRDefault="006C65F7" w:rsidP="00A51CD0">
            <w:pPr>
              <w:jc w:val="both"/>
            </w:pPr>
            <w:r w:rsidRPr="006C65F7">
              <w:t>Projektas parengtas vadovaujantis Lietuvos Respublikos vietos savivaldos įstatymo 15 straipsnio 2 dalies 28 punktu, kuris numato, kad  išimtinė Savivaldybės tarybos kompetencija yra taisyklių, už kurių pažeidimą numatyta administracinė atsakomybė, ir kitų taisyklių tvirtinimas, ir Lietuvos Respublikos atliekų tvarkymo įstatymo 31 straipsnio 1 dalimi, kuri numato, kad Savivaldybių tarybos turi patvirtinti taisykles, reglamentuojančias savivaldybės komunalinių atliekų tvarkymo sistemos organizavimą, komunalinių atliekų tvarkymo paslaugų teikimą ir užtikrinančias, kad šios paslaugos atitiktų aplinkosaugos, techninius-ekonominius, higienos reikalavimus ir savivaldybių bei regioninių atliekų prevencijos ir tvarkymo planų įgyvendinimą nustatančias komunalinių atliekų tvarkymo sąlygas.</w:t>
            </w:r>
            <w:r>
              <w:t xml:space="preserve"> </w:t>
            </w:r>
            <w:r w:rsidRPr="006C65F7">
              <w:t xml:space="preserve">Atsižvelgiant į planuojamą maisto atliekų atskirą surinkimą </w:t>
            </w:r>
            <w:r>
              <w:t>Šalčininkų</w:t>
            </w:r>
            <w:r w:rsidRPr="006C65F7">
              <w:t xml:space="preserve"> mieste, Projekte siūloma įtvirtinti </w:t>
            </w:r>
            <w:r>
              <w:t>patikslintas</w:t>
            </w:r>
            <w:r w:rsidRPr="006C65F7">
              <w:t xml:space="preserve"> nuostatas, susijusias su maisto atliekų tvarkymu, t. y. kad </w:t>
            </w:r>
            <w:r>
              <w:t xml:space="preserve">Šalčininkų </w:t>
            </w:r>
            <w:r w:rsidRPr="006C65F7">
              <w:t>miesto gyventojai turi atskirti maisto atliekas nuo kitų komunalinių atliekų jų susidarymo vietoje, ir mesti į specialius oranžinės spalvos maišus, skirtus maisto atliekų rūšiavimui, o užpildytus maišus, sandariai užrišti ir išmesti į mišrių komunalinių atliekų konteinerį.</w:t>
            </w:r>
          </w:p>
        </w:tc>
      </w:tr>
      <w:tr w:rsidR="00B50B76" w14:paraId="4B512E7D" w14:textId="77777777" w:rsidTr="00FB7012">
        <w:tc>
          <w:tcPr>
            <w:tcW w:w="562" w:type="dxa"/>
          </w:tcPr>
          <w:p w14:paraId="76E31D05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</w:tcPr>
          <w:p w14:paraId="01DD4ECB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798" w:type="dxa"/>
          </w:tcPr>
          <w:p w14:paraId="299EC751" w14:textId="2C3234D1" w:rsidR="00B50B76" w:rsidRDefault="00A51CD0" w:rsidP="00A51CD0">
            <w:pPr>
              <w:tabs>
                <w:tab w:val="left" w:pos="1134"/>
              </w:tabs>
              <w:suppressAutoHyphens/>
              <w:spacing w:line="216" w:lineRule="auto"/>
              <w:jc w:val="both"/>
              <w:rPr>
                <w:rFonts w:eastAsia="Calibri"/>
              </w:rPr>
            </w:pPr>
            <w:r>
              <w:rPr>
                <w:bCs/>
                <w:color w:val="000000"/>
              </w:rPr>
              <w:t>Projektas neprieštarauja Lietuvos Respublikos galiojantiems teisės aktams.</w:t>
            </w:r>
          </w:p>
        </w:tc>
      </w:tr>
      <w:tr w:rsidR="00B50B76" w14:paraId="74224347" w14:textId="77777777" w:rsidTr="00FB7012">
        <w:tc>
          <w:tcPr>
            <w:tcW w:w="562" w:type="dxa"/>
          </w:tcPr>
          <w:p w14:paraId="047156DE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268" w:type="dxa"/>
          </w:tcPr>
          <w:p w14:paraId="0B1E33E1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Lėšų poreikis ir šaltiniai</w:t>
            </w:r>
          </w:p>
        </w:tc>
        <w:tc>
          <w:tcPr>
            <w:tcW w:w="6798" w:type="dxa"/>
          </w:tcPr>
          <w:p w14:paraId="20B8FF2E" w14:textId="11C35A2B" w:rsidR="00B50B76" w:rsidRPr="00E83476" w:rsidRDefault="001A1B21" w:rsidP="00A51CD0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Savivaldybės biudžetas</w:t>
            </w:r>
          </w:p>
        </w:tc>
      </w:tr>
      <w:tr w:rsidR="00B50B76" w14:paraId="00E0DABF" w14:textId="77777777" w:rsidTr="00FB7012">
        <w:tc>
          <w:tcPr>
            <w:tcW w:w="562" w:type="dxa"/>
          </w:tcPr>
          <w:p w14:paraId="617BE424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268" w:type="dxa"/>
          </w:tcPr>
          <w:p w14:paraId="68EC21E7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Ar projektas vertintas antikorupciniu požiūriu (jei taip, pridedama antikorupcinio vertinimo išvada)</w:t>
            </w:r>
          </w:p>
        </w:tc>
        <w:tc>
          <w:tcPr>
            <w:tcW w:w="6798" w:type="dxa"/>
          </w:tcPr>
          <w:p w14:paraId="3B455BEE" w14:textId="77777777" w:rsidR="00A51CD0" w:rsidRDefault="00A51CD0" w:rsidP="00A51CD0">
            <w:pPr>
              <w:tabs>
                <w:tab w:val="left" w:pos="1134"/>
              </w:tabs>
              <w:suppressAutoHyphens/>
              <w:spacing w:line="216" w:lineRule="auto"/>
              <w:jc w:val="both"/>
            </w:pPr>
            <w:r>
              <w:rPr>
                <w:bCs/>
                <w:color w:val="000000"/>
              </w:rPr>
              <w:t>Nevertintinas</w:t>
            </w:r>
            <w:r>
              <w:rPr>
                <w:b/>
                <w:bCs/>
              </w:rPr>
              <w:t>.</w:t>
            </w:r>
          </w:p>
          <w:p w14:paraId="5C7EA084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</w:p>
        </w:tc>
      </w:tr>
      <w:tr w:rsidR="00B50B76" w14:paraId="0D9B24AC" w14:textId="77777777" w:rsidTr="00FB7012">
        <w:tc>
          <w:tcPr>
            <w:tcW w:w="562" w:type="dxa"/>
          </w:tcPr>
          <w:p w14:paraId="4D348F5A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268" w:type="dxa"/>
          </w:tcPr>
          <w:p w14:paraId="746C51DA" w14:textId="77777777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Kiti sprendimui priimti reikalingi pagrindimai, skaičiavimai ar paaiškinimai, ir sprendimo projekto lyginamasis </w:t>
            </w:r>
            <w:r>
              <w:rPr>
                <w:rFonts w:eastAsia="Calibri"/>
              </w:rPr>
              <w:lastRenderedPageBreak/>
              <w:t xml:space="preserve">variantas, jeigu teikiamas sprendimo pakeitimo projekto </w:t>
            </w:r>
          </w:p>
        </w:tc>
        <w:tc>
          <w:tcPr>
            <w:tcW w:w="6798" w:type="dxa"/>
          </w:tcPr>
          <w:p w14:paraId="7A8CFB8C" w14:textId="72B3E461" w:rsidR="00B50B76" w:rsidRDefault="00B50B76" w:rsidP="00FB7012">
            <w:pPr>
              <w:tabs>
                <w:tab w:val="left" w:pos="993"/>
              </w:tabs>
              <w:suppressAutoHyphens/>
              <w:jc w:val="both"/>
              <w:textAlignment w:val="baseline"/>
              <w:rPr>
                <w:rFonts w:eastAsia="Calibri"/>
              </w:rPr>
            </w:pPr>
          </w:p>
        </w:tc>
      </w:tr>
    </w:tbl>
    <w:p w14:paraId="287A68C0" w14:textId="77777777" w:rsidR="00A51CD0" w:rsidRDefault="00A51CD0" w:rsidP="00A042D3">
      <w:pPr>
        <w:jc w:val="both"/>
        <w:rPr>
          <w:color w:val="000000"/>
        </w:rPr>
      </w:pPr>
    </w:p>
    <w:p w14:paraId="5C12CF22" w14:textId="6688783E" w:rsidR="00A042D3" w:rsidRDefault="001A1B21" w:rsidP="00A042D3">
      <w:pPr>
        <w:tabs>
          <w:tab w:val="left" w:pos="1965"/>
        </w:tabs>
        <w:suppressAutoHyphens/>
        <w:rPr>
          <w:lang w:eastAsia="ar-SA"/>
        </w:rPr>
      </w:pPr>
      <w:r>
        <w:rPr>
          <w:lang w:eastAsia="ar-SA"/>
        </w:rPr>
        <w:t>Komunalinio ūkio</w:t>
      </w:r>
      <w:r w:rsidR="00A042D3" w:rsidRPr="006A4AC0">
        <w:rPr>
          <w:lang w:eastAsia="ar-SA"/>
        </w:rPr>
        <w:t xml:space="preserve"> skyriaus vedėja</w:t>
      </w:r>
      <w:r>
        <w:rPr>
          <w:lang w:eastAsia="ar-SA"/>
        </w:rPr>
        <w:t>s</w:t>
      </w:r>
      <w:r w:rsidR="00A042D3" w:rsidRPr="006A4AC0">
        <w:rPr>
          <w:lang w:eastAsia="ar-SA"/>
        </w:rPr>
        <w:t xml:space="preserve">                                     </w:t>
      </w:r>
      <w:r>
        <w:rPr>
          <w:lang w:eastAsia="ar-SA"/>
        </w:rPr>
        <w:t xml:space="preserve">                       </w:t>
      </w:r>
      <w:r w:rsidR="00A042D3" w:rsidRPr="006A4AC0">
        <w:rPr>
          <w:lang w:eastAsia="ar-SA"/>
        </w:rPr>
        <w:t xml:space="preserve">   </w:t>
      </w:r>
      <w:r>
        <w:rPr>
          <w:lang w:eastAsia="ar-SA"/>
        </w:rPr>
        <w:t>Romuald Monkevič</w:t>
      </w:r>
    </w:p>
    <w:p w14:paraId="4E874C7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25B1C48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685262C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A7F73F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052C47AD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6CA005DE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CAEF476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1C40E76D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3A40C2BC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77A182C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1057C127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03ADB5B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398B632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7A43ED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2C7E627D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013CBC2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4288771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3F9869B4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2C4E29C6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94F2F2A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2E294E4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623B7D8C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4BFBC149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E055B8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D439ED0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0AE2BC9A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BF94215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0DA15FB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46C1D6B6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3F34E132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F70610D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0B5E0020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5EFC589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3322B9F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F3568FD" w14:textId="77777777" w:rsidR="00365D21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731F678D" w14:textId="77777777" w:rsidR="00365D21" w:rsidRPr="006A4AC0" w:rsidRDefault="00365D21" w:rsidP="00A042D3">
      <w:pPr>
        <w:tabs>
          <w:tab w:val="left" w:pos="1965"/>
        </w:tabs>
        <w:suppressAutoHyphens/>
        <w:rPr>
          <w:lang w:eastAsia="ar-SA"/>
        </w:rPr>
      </w:pPr>
    </w:p>
    <w:p w14:paraId="6F96A2CA" w14:textId="00F00477" w:rsidR="00A35DCC" w:rsidRDefault="00A35DCC" w:rsidP="00AC5325"/>
    <w:p w14:paraId="58877264" w14:textId="150571AC" w:rsidR="00B518F3" w:rsidRDefault="001A1B21" w:rsidP="00B518F3">
      <w:pPr>
        <w:pStyle w:val="Antrats"/>
      </w:pPr>
      <w:r>
        <w:t>Justyna Dovgialo</w:t>
      </w:r>
      <w:r w:rsidR="00AC5325" w:rsidRPr="006A4AC0">
        <w:t xml:space="preserve">, </w:t>
      </w:r>
      <w:r w:rsidR="00C965A5">
        <w:fldChar w:fldCharType="begin"/>
      </w:r>
      <w:r w:rsidR="00C965A5">
        <w:instrText xml:space="preserve"> DOCPROPERTY  DLX:abs_gov_DokumentoRengejoPadalinys:Title  \* MERGEFORMAT </w:instrText>
      </w:r>
      <w:r w:rsidR="00C965A5">
        <w:fldChar w:fldCharType="separate"/>
      </w:r>
      <w:r>
        <w:t>Komunalinio ūkio</w:t>
      </w:r>
      <w:r w:rsidR="00AC5325" w:rsidRPr="006A4AC0">
        <w:t xml:space="preserve"> skyrius</w:t>
      </w:r>
      <w:r w:rsidR="00C965A5">
        <w:fldChar w:fldCharType="end"/>
      </w:r>
      <w:r w:rsidR="00AC5325" w:rsidRPr="006A4AC0">
        <w:t xml:space="preserve">, tel.: </w:t>
      </w:r>
      <w:r w:rsidR="00C965A5">
        <w:fldChar w:fldCharType="begin"/>
      </w:r>
      <w:r w:rsidR="00C965A5">
        <w:instrText xml:space="preserve"> DOCPROPERTY  DLX:abs_gov_DokumentoRengejas:Phone  \* MERGEFORMAT </w:instrText>
      </w:r>
      <w:r w:rsidR="00C965A5">
        <w:fldChar w:fldCharType="separate"/>
      </w:r>
      <w:r w:rsidR="00AC5325" w:rsidRPr="006A4AC0">
        <w:t>838020</w:t>
      </w:r>
      <w:r w:rsidR="00C965A5">
        <w:fldChar w:fldCharType="end"/>
      </w:r>
      <w:r>
        <w:t>127</w:t>
      </w:r>
      <w:r w:rsidR="00AC5325" w:rsidRPr="006A4AC0">
        <w:t xml:space="preserve">, el. paštas: </w:t>
      </w:r>
      <w:r w:rsidR="00C965A5">
        <w:fldChar w:fldCharType="begin"/>
      </w:r>
      <w:r w:rsidR="00C965A5">
        <w:instrText xml:space="preserve"> DOCPROPERTY  DLX:abs_gov_DokumentoRengejas:DlxEmail  \* MERGEFORMAT </w:instrText>
      </w:r>
      <w:r w:rsidR="00C965A5">
        <w:fldChar w:fldCharType="separate"/>
      </w:r>
      <w:r>
        <w:t>justyna.dovgialo</w:t>
      </w:r>
      <w:r w:rsidR="00AC5325" w:rsidRPr="006A4AC0">
        <w:t>@salcininkai.lt</w:t>
      </w:r>
      <w:r w:rsidR="00C965A5">
        <w:fldChar w:fldCharType="end"/>
      </w:r>
    </w:p>
    <w:p w14:paraId="0B029419" w14:textId="3B2E313D" w:rsidR="00941E1B" w:rsidRDefault="00941E1B" w:rsidP="0024756D">
      <w:pPr>
        <w:pStyle w:val="Antrats"/>
      </w:pPr>
    </w:p>
    <w:p w14:paraId="3139C34A" w14:textId="77777777" w:rsidR="00C06FE0" w:rsidRDefault="00C06FE0" w:rsidP="0024756D">
      <w:pPr>
        <w:pStyle w:val="Antrats"/>
      </w:pPr>
    </w:p>
    <w:sectPr w:rsidR="00C06FE0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75DA" w14:textId="77777777" w:rsidR="00441AE5" w:rsidRDefault="00441AE5">
      <w:r>
        <w:separator/>
      </w:r>
    </w:p>
  </w:endnote>
  <w:endnote w:type="continuationSeparator" w:id="0">
    <w:p w14:paraId="356F879D" w14:textId="77777777" w:rsidR="00441AE5" w:rsidRDefault="0044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0306" w14:textId="77777777" w:rsidR="00441AE5" w:rsidRDefault="00441AE5">
      <w:r>
        <w:separator/>
      </w:r>
    </w:p>
  </w:footnote>
  <w:footnote w:type="continuationSeparator" w:id="0">
    <w:p w14:paraId="6406BB2D" w14:textId="77777777" w:rsidR="00441AE5" w:rsidRDefault="00441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206"/>
    <w:multiLevelType w:val="hybridMultilevel"/>
    <w:tmpl w:val="75E8C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148"/>
    <w:multiLevelType w:val="hybridMultilevel"/>
    <w:tmpl w:val="47D05A8E"/>
    <w:lvl w:ilvl="0" w:tplc="EA14AF5E">
      <w:start w:val="1"/>
      <w:numFmt w:val="decimal"/>
      <w:lvlText w:val="%1."/>
      <w:lvlJc w:val="left"/>
      <w:pPr>
        <w:ind w:left="927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0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8E6AC9"/>
    <w:multiLevelType w:val="multilevel"/>
    <w:tmpl w:val="C49C2B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4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C1AE0"/>
    <w:multiLevelType w:val="hybridMultilevel"/>
    <w:tmpl w:val="99CC929A"/>
    <w:lvl w:ilvl="0" w:tplc="20B4033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DE3366"/>
    <w:multiLevelType w:val="hybridMultilevel"/>
    <w:tmpl w:val="53AA1ACA"/>
    <w:lvl w:ilvl="0" w:tplc="2F6A6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0405E0"/>
    <w:multiLevelType w:val="multilevel"/>
    <w:tmpl w:val="1B1ECCEA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color w:val="FF0000"/>
      </w:rPr>
    </w:lvl>
  </w:abstractNum>
  <w:abstractNum w:abstractNumId="21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8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32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33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12830747">
    <w:abstractNumId w:val="8"/>
  </w:num>
  <w:num w:numId="2" w16cid:durableId="1971202714">
    <w:abstractNumId w:val="27"/>
    <w:lvlOverride w:ilvl="0">
      <w:startOverride w:val="1"/>
    </w:lvlOverride>
  </w:num>
  <w:num w:numId="3" w16cid:durableId="2017882567">
    <w:abstractNumId w:val="28"/>
  </w:num>
  <w:num w:numId="4" w16cid:durableId="1001740009">
    <w:abstractNumId w:val="14"/>
  </w:num>
  <w:num w:numId="5" w16cid:durableId="941645456">
    <w:abstractNumId w:val="33"/>
  </w:num>
  <w:num w:numId="6" w16cid:durableId="1834759360">
    <w:abstractNumId w:val="3"/>
  </w:num>
  <w:num w:numId="7" w16cid:durableId="1778482104">
    <w:abstractNumId w:val="13"/>
  </w:num>
  <w:num w:numId="8" w16cid:durableId="1857307882">
    <w:abstractNumId w:val="2"/>
  </w:num>
  <w:num w:numId="9" w16cid:durableId="1140659380">
    <w:abstractNumId w:val="26"/>
  </w:num>
  <w:num w:numId="10" w16cid:durableId="1722899827">
    <w:abstractNumId w:val="32"/>
  </w:num>
  <w:num w:numId="11" w16cid:durableId="1459761288">
    <w:abstractNumId w:val="24"/>
  </w:num>
  <w:num w:numId="12" w16cid:durableId="1352804809">
    <w:abstractNumId w:val="31"/>
  </w:num>
  <w:num w:numId="13" w16cid:durableId="1804814305">
    <w:abstractNumId w:val="1"/>
  </w:num>
  <w:num w:numId="14" w16cid:durableId="25301383">
    <w:abstractNumId w:val="4"/>
  </w:num>
  <w:num w:numId="15" w16cid:durableId="2059820152">
    <w:abstractNumId w:val="21"/>
  </w:num>
  <w:num w:numId="16" w16cid:durableId="2112315513">
    <w:abstractNumId w:val="12"/>
  </w:num>
  <w:num w:numId="17" w16cid:durableId="357390039">
    <w:abstractNumId w:val="22"/>
  </w:num>
  <w:num w:numId="18" w16cid:durableId="940534085">
    <w:abstractNumId w:val="25"/>
  </w:num>
  <w:num w:numId="19" w16cid:durableId="79063426">
    <w:abstractNumId w:val="10"/>
  </w:num>
  <w:num w:numId="20" w16cid:durableId="1136873067">
    <w:abstractNumId w:val="19"/>
  </w:num>
  <w:num w:numId="21" w16cid:durableId="453866415">
    <w:abstractNumId w:val="30"/>
  </w:num>
  <w:num w:numId="22" w16cid:durableId="1420296496">
    <w:abstractNumId w:val="29"/>
  </w:num>
  <w:num w:numId="23" w16cid:durableId="500508152">
    <w:abstractNumId w:val="17"/>
  </w:num>
  <w:num w:numId="24" w16cid:durableId="164174376">
    <w:abstractNumId w:val="9"/>
  </w:num>
  <w:num w:numId="25" w16cid:durableId="2011174526">
    <w:abstractNumId w:val="7"/>
  </w:num>
  <w:num w:numId="26" w16cid:durableId="1301495698">
    <w:abstractNumId w:val="16"/>
  </w:num>
  <w:num w:numId="27" w16cid:durableId="902987628">
    <w:abstractNumId w:val="5"/>
  </w:num>
  <w:num w:numId="28" w16cid:durableId="782458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7304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1271194">
    <w:abstractNumId w:val="18"/>
  </w:num>
  <w:num w:numId="31" w16cid:durableId="473570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8676764">
    <w:abstractNumId w:val="11"/>
  </w:num>
  <w:num w:numId="33" w16cid:durableId="410661914">
    <w:abstractNumId w:val="20"/>
  </w:num>
  <w:num w:numId="34" w16cid:durableId="2034380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35AF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1B21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1C1B"/>
    <w:rsid w:val="002A2C2B"/>
    <w:rsid w:val="002A4375"/>
    <w:rsid w:val="002A7D4D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1752F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65D21"/>
    <w:rsid w:val="0037256C"/>
    <w:rsid w:val="00374FD5"/>
    <w:rsid w:val="00376552"/>
    <w:rsid w:val="0038041A"/>
    <w:rsid w:val="003837DF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4D3E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1AE5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1145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054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5F7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40DC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3BE5"/>
    <w:rsid w:val="007954D0"/>
    <w:rsid w:val="00795D8B"/>
    <w:rsid w:val="0079747D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051B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3E0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49F8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9F640C"/>
    <w:rsid w:val="00A015DE"/>
    <w:rsid w:val="00A0169C"/>
    <w:rsid w:val="00A017C4"/>
    <w:rsid w:val="00A042D3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5DCC"/>
    <w:rsid w:val="00A40BC5"/>
    <w:rsid w:val="00A40C8B"/>
    <w:rsid w:val="00A42F01"/>
    <w:rsid w:val="00A43719"/>
    <w:rsid w:val="00A43A18"/>
    <w:rsid w:val="00A44DEE"/>
    <w:rsid w:val="00A50993"/>
    <w:rsid w:val="00A51CD0"/>
    <w:rsid w:val="00A52633"/>
    <w:rsid w:val="00A54503"/>
    <w:rsid w:val="00A54A47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07AE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25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AF6DFF"/>
    <w:rsid w:val="00B0129E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0B76"/>
    <w:rsid w:val="00B518F3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6FE0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40F"/>
    <w:rsid w:val="00C965A5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90F"/>
    <w:rsid w:val="00CD166F"/>
    <w:rsid w:val="00CD7B17"/>
    <w:rsid w:val="00CE1B20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39E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458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95151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BA3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BE4C5241-2E19-4F06-9730-EFAAF37E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vadinimas1">
    <w:name w:val="pavadinimas1"/>
    <w:basedOn w:val="prastasis"/>
    <w:uiPriority w:val="99"/>
    <w:rsid w:val="00B50B7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C18A-A813-4612-A231-0624BAC3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2649</Characters>
  <Application>Microsoft Office Word</Application>
  <DocSecurity>4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2023-11-13T08:37:00Z</cp:lastPrinted>
  <dcterms:created xsi:type="dcterms:W3CDTF">2023-12-20T07:05:00Z</dcterms:created>
  <dcterms:modified xsi:type="dcterms:W3CDTF">2023-12-20T07:05:00Z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Jolanta Černiavskienė</vt:lpwstr>
  </property>
  <property fmtid="{D5CDD505-2E9C-101B-9397-08002B2CF9AE}" pid="8" name="DLX:abs_gov_DokumentoRengejas:Phone">
    <vt:lpwstr>838020213</vt:lpwstr>
  </property>
  <property fmtid="{D5CDD505-2E9C-101B-9397-08002B2CF9AE}" pid="9" name="DLX:abs_gov_DokumentoRengejas:Email">
    <vt:lpwstr>dlx@salcininkai.lt</vt:lpwstr>
  </property>
  <property fmtid="{D5CDD505-2E9C-101B-9397-08002B2CF9AE}" pid="10" name="DLX:abs_gov_DokumentoRengejoPadalinys:Title">
    <vt:lpwstr>Socialinės paramos ir sveikatos apsaugos skyrius</vt:lpwstr>
  </property>
  <property fmtid="{D5CDD505-2E9C-101B-9397-08002B2CF9AE}" pid="11" name="DLX:abs_gov_DokumentoRengejas:DlxEmail">
    <vt:lpwstr>jolanta.cerniavskiene@salcininkai.lt</vt:lpwstr>
  </property>
</Properties>
</file>