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EB988" w14:textId="77777777" w:rsidR="00345806" w:rsidRDefault="00BD1E46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</w:rPr>
        <w:t>Aiškinamasis raštas</w:t>
      </w:r>
    </w:p>
    <w:p w14:paraId="626EB989" w14:textId="77777777" w:rsidR="00345806" w:rsidRDefault="00345806">
      <w:pPr>
        <w:rPr>
          <w:b/>
          <w:sz w:val="22"/>
          <w:szCs w:val="22"/>
        </w:rPr>
      </w:pPr>
    </w:p>
    <w:tbl>
      <w:tblPr>
        <w:tblW w:w="9752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16"/>
        <w:gridCol w:w="2671"/>
        <w:gridCol w:w="6565"/>
      </w:tblGrid>
      <w:tr w:rsidR="00345806" w14:paraId="626EB98D" w14:textId="77777777">
        <w:trPr>
          <w:trHeight w:val="46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8A" w14:textId="77777777" w:rsidR="00345806" w:rsidRDefault="00BD1E46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8B" w14:textId="77777777" w:rsidR="00345806" w:rsidRDefault="00BD1E46">
            <w:pPr>
              <w:rPr>
                <w:color w:val="000000"/>
              </w:rPr>
            </w:pPr>
            <w:r>
              <w:t>Parengto projekto tikslai ir uždaviniai, laukiami rezultatai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8C" w14:textId="77777777" w:rsidR="00345806" w:rsidRDefault="00BD1E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Sprendimo projektu siūloma patvirtinti Šalčininkų rajono savivaldybės jaunimo reikalų tarybos 2023 m. veiklos ataskaitą.</w:t>
            </w:r>
          </w:p>
        </w:tc>
      </w:tr>
      <w:tr w:rsidR="00345806" w14:paraId="626EB991" w14:textId="77777777">
        <w:trPr>
          <w:trHeight w:val="61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8E" w14:textId="77777777" w:rsidR="00345806" w:rsidRDefault="00BD1E46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8F" w14:textId="77777777" w:rsidR="00345806" w:rsidRDefault="00BD1E46">
            <w:pPr>
              <w:rPr>
                <w:color w:val="000000"/>
              </w:rPr>
            </w:pPr>
            <w:r>
              <w:t xml:space="preserve">Išsamus faktinis ir teisinis pagrindas, </w:t>
            </w:r>
            <w:r>
              <w:t>siūlomos teisinio reguliavimo nuostatos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0" w14:textId="77777777" w:rsidR="00345806" w:rsidRDefault="00BD1E46">
            <w:pPr>
              <w:tabs>
                <w:tab w:val="left" w:pos="720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Remiantis Šalčininkų rajono savivaldybės tarybos 2020 m. gruodžio 17 d. sprendimu Nr. T-516 „Dėl Šalčininkų rajono savivaldybės jaunimo reikalų tarybos sudėties ir nuostatų patvirtinimo“ patvirtintų nuostatų 6.11. pu</w:t>
            </w:r>
            <w:r>
              <w:rPr>
                <w:bCs/>
                <w:color w:val="000000"/>
              </w:rPr>
              <w:t>nktu, Šalčininkų rajono savivaldybės jaunimo reikalų taryba ne rečiau kaip kartą per metus teikia savo veiklos ataskaitą savivaldybės tarybai.</w:t>
            </w:r>
          </w:p>
        </w:tc>
      </w:tr>
      <w:tr w:rsidR="00345806" w14:paraId="626EB995" w14:textId="77777777">
        <w:trPr>
          <w:trHeight w:val="61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2" w14:textId="77777777" w:rsidR="00345806" w:rsidRDefault="00BD1E46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3" w14:textId="77777777" w:rsidR="00345806" w:rsidRDefault="00BD1E46">
            <w:r>
              <w:rPr>
                <w:lang w:eastAsia="lt-LT"/>
              </w:rPr>
              <w:t xml:space="preserve">Numatomo teisinio reguliavimo poveikio vertinimo rezultatai, jei sprendimu numatoma reglamentuoti iki tol </w:t>
            </w:r>
            <w:r>
              <w:rPr>
                <w:lang w:eastAsia="lt-LT"/>
              </w:rPr>
              <w:t>nereglamentuotus santykius arba iš esmės keičiamas teisinis reguliavimas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4" w14:textId="77777777" w:rsidR="00345806" w:rsidRDefault="00BD1E46">
            <w:pPr>
              <w:tabs>
                <w:tab w:val="left" w:pos="720"/>
              </w:tabs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Projekto įgyvendinimas neturės teisinio poveikio norminiams teisės aktams.</w:t>
            </w:r>
          </w:p>
        </w:tc>
      </w:tr>
      <w:tr w:rsidR="00345806" w14:paraId="626EB99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6" w14:textId="77777777" w:rsidR="00345806" w:rsidRDefault="00BD1E46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7" w14:textId="77777777" w:rsidR="00345806" w:rsidRDefault="00BD1E46">
            <w:pPr>
              <w:rPr>
                <w:color w:val="000000"/>
              </w:rPr>
            </w:pPr>
            <w:r>
              <w:t>Lėšų poreikis ir šaltiniai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8" w14:textId="77777777" w:rsidR="00345806" w:rsidRDefault="00BD1E46">
            <w:pPr>
              <w:tabs>
                <w:tab w:val="left" w:pos="720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Nereikalingas.</w:t>
            </w:r>
          </w:p>
        </w:tc>
      </w:tr>
      <w:tr w:rsidR="00345806" w14:paraId="626EB99D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A" w14:textId="77777777" w:rsidR="00345806" w:rsidRDefault="00BD1E46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B" w14:textId="77777777" w:rsidR="00345806" w:rsidRDefault="00BD1E46">
            <w:pPr>
              <w:rPr>
                <w:color w:val="000000"/>
              </w:rPr>
            </w:pPr>
            <w:r>
              <w:rPr>
                <w:lang w:eastAsia="lt-LT"/>
              </w:rPr>
              <w:t>Ar projektas vertintinas antikorupciniu požiūriu (jei taip</w:t>
            </w:r>
            <w:r>
              <w:rPr>
                <w:lang w:eastAsia="lt-LT"/>
              </w:rPr>
              <w:t>, pridedama antikorupcinio vertinimo išvada)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C" w14:textId="77777777" w:rsidR="00345806" w:rsidRDefault="00BD1E46">
            <w:pPr>
              <w:tabs>
                <w:tab w:val="left" w:pos="720"/>
                <w:tab w:val="left" w:pos="106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Ne.</w:t>
            </w:r>
          </w:p>
        </w:tc>
      </w:tr>
      <w:tr w:rsidR="00345806" w14:paraId="626EB9A1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E" w14:textId="77777777" w:rsidR="00345806" w:rsidRDefault="00BD1E46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9F" w14:textId="77777777" w:rsidR="00345806" w:rsidRDefault="00BD1E46">
            <w:pPr>
              <w:rPr>
                <w:color w:val="000000"/>
              </w:rPr>
            </w:pPr>
            <w:r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9A0" w14:textId="77777777" w:rsidR="00345806" w:rsidRDefault="00BD1E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Nėra.</w:t>
            </w:r>
          </w:p>
        </w:tc>
      </w:tr>
    </w:tbl>
    <w:p w14:paraId="626EB9A2" w14:textId="77777777" w:rsidR="00345806" w:rsidRDefault="00345806"/>
    <w:p w14:paraId="626EB9A3" w14:textId="77777777" w:rsidR="00345806" w:rsidRDefault="00345806"/>
    <w:p w14:paraId="626EB9A4" w14:textId="77777777" w:rsidR="00345806" w:rsidRDefault="00345806"/>
    <w:p w14:paraId="626EB9A5" w14:textId="77777777" w:rsidR="00345806" w:rsidRDefault="00BD1E46">
      <w:r>
        <w:t>Viktorija Rekst, Jaunimo</w:t>
      </w:r>
      <w:r>
        <w:t xml:space="preserve"> reikalų koordinatorius, tel.: +37061574908, el. paštas: viktorija.rekst@salcininkai.lt</w:t>
      </w:r>
    </w:p>
    <w:sectPr w:rsidR="00345806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F73F8"/>
    <w:multiLevelType w:val="multilevel"/>
    <w:tmpl w:val="5F1E885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06"/>
    <w:rsid w:val="00345806"/>
    <w:rsid w:val="00B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B988"/>
  <w15:docId w15:val="{1DBB0B0C-98E3-48FF-B2D9-F14E425D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9z0">
    <w:name w:val="WW8Num19z0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b w:val="0"/>
      <w:bCs w:val="0"/>
      <w:i w:val="0"/>
      <w:iCs w:val="0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i w:val="0"/>
      <w:iCs w:val="0"/>
    </w:rPr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Pr>
      <w:i w:val="0"/>
      <w:iCs w:val="0"/>
    </w:rPr>
  </w:style>
  <w:style w:type="character" w:customStyle="1" w:styleId="WW8Num30z0">
    <w:name w:val="WW8Num30z0"/>
    <w:qFormat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Antrat1Diagrama">
    <w:name w:val="Antraštė 1 Diagrama"/>
    <w:qFormat/>
    <w:rPr>
      <w:rFonts w:ascii="Cambria" w:hAnsi="Cambria" w:cs="Cambria"/>
      <w:b/>
      <w:bCs/>
      <w:kern w:val="2"/>
      <w:sz w:val="32"/>
      <w:szCs w:val="32"/>
      <w:lang w:val="lt-LT"/>
    </w:rPr>
  </w:style>
  <w:style w:type="character" w:customStyle="1" w:styleId="Antrat3Diagrama">
    <w:name w:val="Antraštė 3 Diagrama"/>
    <w:qFormat/>
    <w:rPr>
      <w:rFonts w:ascii="Cambria" w:hAnsi="Cambria" w:cs="Cambria"/>
      <w:b/>
      <w:bCs/>
      <w:sz w:val="26"/>
      <w:szCs w:val="26"/>
      <w:lang w:val="lt-LT"/>
    </w:rPr>
  </w:style>
  <w:style w:type="character" w:customStyle="1" w:styleId="Antrat5Diagrama">
    <w:name w:val="Antraštė 5 Diagrama"/>
    <w:qFormat/>
    <w:rPr>
      <w:rFonts w:ascii="Calibri" w:hAnsi="Calibri" w:cs="Calibri"/>
      <w:b/>
      <w:bCs/>
      <w:i/>
      <w:iCs/>
      <w:sz w:val="26"/>
      <w:szCs w:val="26"/>
      <w:lang w:val="lt-LT"/>
    </w:rPr>
  </w:style>
  <w:style w:type="character" w:customStyle="1" w:styleId="PavadinimasDiagrama">
    <w:name w:val="Pavadinimas Diagrama"/>
    <w:qFormat/>
    <w:rPr>
      <w:rFonts w:ascii="Cambria" w:hAnsi="Cambria" w:cs="Cambria"/>
      <w:b/>
      <w:bCs/>
      <w:kern w:val="2"/>
      <w:sz w:val="32"/>
      <w:szCs w:val="32"/>
      <w:lang w:val="lt-LT"/>
    </w:rPr>
  </w:style>
  <w:style w:type="character" w:customStyle="1" w:styleId="PagrindinistekstasDiagrama">
    <w:name w:val="Pagrindinis tekstas Diagrama"/>
    <w:qFormat/>
    <w:rPr>
      <w:sz w:val="24"/>
      <w:szCs w:val="24"/>
      <w:lang w:val="lt-LT"/>
    </w:rPr>
  </w:style>
  <w:style w:type="character" w:customStyle="1" w:styleId="Pagrindinistekstas2Diagrama">
    <w:name w:val="Pagrindinis tekstas 2 Diagrama"/>
    <w:qFormat/>
    <w:rPr>
      <w:sz w:val="24"/>
      <w:szCs w:val="24"/>
      <w:lang w:val="lt-LT"/>
    </w:rPr>
  </w:style>
  <w:style w:type="character" w:customStyle="1" w:styleId="Pagrindinistekstas3Diagrama">
    <w:name w:val="Pagrindinis tekstas 3 Diagrama"/>
    <w:qFormat/>
    <w:rPr>
      <w:sz w:val="16"/>
      <w:szCs w:val="16"/>
      <w:lang w:val="lt-LT"/>
    </w:rPr>
  </w:style>
  <w:style w:type="character" w:customStyle="1" w:styleId="PaantratDiagrama">
    <w:name w:val="Paantraštė Diagrama"/>
    <w:qFormat/>
    <w:rPr>
      <w:rFonts w:ascii="Cambria" w:hAnsi="Cambria" w:cs="Cambria"/>
      <w:sz w:val="24"/>
      <w:szCs w:val="24"/>
      <w:lang w:val="lt-LT"/>
    </w:rPr>
  </w:style>
  <w:style w:type="character" w:customStyle="1" w:styleId="DebesliotekstasDiagrama">
    <w:name w:val="Debesėlio tekstas Diagrama"/>
    <w:qFormat/>
    <w:rPr>
      <w:sz w:val="2"/>
      <w:szCs w:val="2"/>
      <w:lang w:val="lt-LT"/>
    </w:rPr>
  </w:style>
  <w:style w:type="character" w:customStyle="1" w:styleId="HTMLiankstoformatuotasDiagrama">
    <w:name w:val="HTML iš anksto formatuotas Diagrama"/>
    <w:qFormat/>
    <w:rPr>
      <w:rFonts w:ascii="Courier New" w:hAnsi="Courier New" w:cs="Courier New"/>
      <w:sz w:val="20"/>
      <w:szCs w:val="20"/>
      <w:lang w:val="lt-LT"/>
    </w:rPr>
  </w:style>
  <w:style w:type="character" w:customStyle="1" w:styleId="PagrindiniotekstotraukaDiagrama">
    <w:name w:val="Pagrindinio teksto įtrauka Diagrama"/>
    <w:qFormat/>
    <w:rPr>
      <w:sz w:val="24"/>
      <w:szCs w:val="24"/>
      <w:lang w:val="lt-LT"/>
    </w:rPr>
  </w:style>
  <w:style w:type="character" w:customStyle="1" w:styleId="PoratDiagrama">
    <w:name w:val="Poraštė Diagrama"/>
    <w:qFormat/>
    <w:rPr>
      <w:sz w:val="24"/>
      <w:szCs w:val="24"/>
      <w:lang w:val="lt-LT"/>
    </w:rPr>
  </w:style>
  <w:style w:type="character" w:styleId="PageNumber">
    <w:name w:val="page number"/>
    <w:basedOn w:val="Numatytasispastraiposriftas"/>
  </w:style>
  <w:style w:type="character" w:customStyle="1" w:styleId="AntratsDiagrama">
    <w:name w:val="Antraštės Diagrama"/>
    <w:qFormat/>
    <w:rPr>
      <w:sz w:val="24"/>
      <w:szCs w:val="24"/>
      <w:lang w:val="lt-LT"/>
    </w:rPr>
  </w:style>
  <w:style w:type="character" w:styleId="Hyperlink">
    <w:name w:val="Hyperlink"/>
    <w:rPr>
      <w:color w:val="000000"/>
      <w:u w:val="single"/>
    </w:rPr>
  </w:style>
  <w:style w:type="character" w:customStyle="1" w:styleId="Pagrindiniotekstotrauka2Diagrama">
    <w:name w:val="Pagrindinio teksto įtrauka 2 Diagrama"/>
    <w:qFormat/>
    <w:rPr>
      <w:sz w:val="24"/>
      <w:szCs w:val="24"/>
      <w:lang w:val="lt-LT"/>
    </w:rPr>
  </w:style>
  <w:style w:type="character" w:customStyle="1" w:styleId="SraopastraipaDiagrama">
    <w:name w:val="Sąrašo pastraipa Diagrama"/>
    <w:qFormat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ntrat">
    <w:name w:val="Antraštė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Pagrindinistekstas2">
    <w:name w:val="Pagrindinis tekstas 2"/>
    <w:basedOn w:val="Normal"/>
    <w:qFormat/>
  </w:style>
  <w:style w:type="paragraph" w:customStyle="1" w:styleId="Pagrindinistekstas3">
    <w:name w:val="Pagrindinis tekstas 3"/>
    <w:basedOn w:val="Normal"/>
    <w:qFormat/>
    <w:pPr>
      <w:jc w:val="center"/>
    </w:pPr>
    <w:rPr>
      <w:b/>
      <w:bCs/>
      <w:caps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caps/>
    </w:rPr>
  </w:style>
  <w:style w:type="paragraph" w:customStyle="1" w:styleId="Debesliotekstas">
    <w:name w:val="Debesėlio tekstas"/>
    <w:basedOn w:val="Normal"/>
    <w:qFormat/>
    <w:rPr>
      <w:rFonts w:ascii="Tahoma" w:hAnsi="Tahoma" w:cs="Tahoma"/>
      <w:sz w:val="16"/>
      <w:szCs w:val="16"/>
    </w:rPr>
  </w:style>
  <w:style w:type="paragraph" w:customStyle="1" w:styleId="HTMLiankstoformatuotas">
    <w:name w:val="HTML iš anksto formatuotas"/>
    <w:basedOn w:val="Normal"/>
    <w:qFormat/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style2">
    <w:name w:val="style2"/>
    <w:basedOn w:val="Normal"/>
    <w:qFormat/>
    <w:pPr>
      <w:spacing w:before="280" w:after="28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HeaderandFooter">
    <w:name w:val="Header and Footer"/>
    <w:basedOn w:val="Normal"/>
    <w:qFormat/>
    <w:pPr>
      <w:suppressLineNumbers/>
    </w:pPr>
  </w:style>
  <w:style w:type="paragraph" w:styleId="Footer">
    <w:name w:val="footer"/>
    <w:basedOn w:val="Normal"/>
    <w:rPr>
      <w:lang w:val="ru-RU"/>
    </w:rPr>
  </w:style>
  <w:style w:type="paragraph" w:styleId="Header">
    <w:name w:val="header"/>
    <w:basedOn w:val="Normal"/>
  </w:style>
  <w:style w:type="paragraph" w:customStyle="1" w:styleId="Pagrindiniotekstotrauka2">
    <w:name w:val="Pagrindinio teksto įtrauka 2"/>
    <w:basedOn w:val="Normal"/>
    <w:qFormat/>
    <w:pPr>
      <w:spacing w:after="120" w:line="480" w:lineRule="auto"/>
      <w:ind w:left="283"/>
    </w:pPr>
  </w:style>
  <w:style w:type="paragraph" w:customStyle="1" w:styleId="Sraopastraipa">
    <w:name w:val="Sąrašo pastraipa"/>
    <w:basedOn w:val="Normal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HP650</cp:lastModifiedBy>
  <cp:revision>2</cp:revision>
  <cp:lastPrinted>2014-01-08T19:08:00Z</cp:lastPrinted>
  <dcterms:created xsi:type="dcterms:W3CDTF">2024-02-05T15:09:00Z</dcterms:created>
  <dcterms:modified xsi:type="dcterms:W3CDTF">2024-02-05T15:09:00Z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Title">
    <vt:lpwstr>Tarybos sprendimo projektas</vt:lpwstr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DlxEmail">
    <vt:lpwstr>olga.goj@salcininkai.lt</vt:lpwstr>
  </property>
  <property fmtid="{D5CDD505-2E9C-101B-9397-08002B2CF9AE}" pid="8" name="DLX:abs_gov_DokumentoRengejas:Email">
    <vt:lpwstr>dlx@srsa.lt</vt:lpwstr>
  </property>
  <property fmtid="{D5CDD505-2E9C-101B-9397-08002B2CF9AE}" pid="9" name="DLX:abs_gov_DokumentoRengejas:Phone">
    <vt:lpwstr>8 (380) 20 207</vt:lpwstr>
  </property>
  <property fmtid="{D5CDD505-2E9C-101B-9397-08002B2CF9AE}" pid="10" name="DLX:abs_gov_DokumentoRengejas:Title">
    <vt:lpwstr>Olga Goj</vt:lpwstr>
  </property>
  <property fmtid="{D5CDD505-2E9C-101B-9397-08002B2CF9AE}" pid="11" name="DLX:abs_gov_DokumentoRengejoPadalinys:Title">
    <vt:lpwstr>Investicijų ir strateginio planavimo skyrius</vt:lpwstr>
  </property>
</Properties>
</file>