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16"/>
        <w:gridCol w:w="6339"/>
      </w:tblGrid>
      <w:tr w:rsidR="00FC57AB" w:rsidRPr="0083292E" w14:paraId="5BA169EA" w14:textId="77777777" w:rsidTr="00866A56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6E8" w14:textId="77777777" w:rsidR="008D2E1F" w:rsidRPr="00306916" w:rsidRDefault="008D2E1F" w:rsidP="008D2E1F">
            <w:pPr>
              <w:jc w:val="both"/>
            </w:pPr>
            <w:r w:rsidRPr="00306916">
              <w:t>Šiuo sprendimu siūloma:</w:t>
            </w:r>
          </w:p>
          <w:p w14:paraId="16F32C74" w14:textId="06B6AD85" w:rsidR="00824C68" w:rsidRPr="00920C68" w:rsidRDefault="00824C68" w:rsidP="00824C68">
            <w:pPr>
              <w:ind w:firstLine="720"/>
              <w:jc w:val="both"/>
            </w:pPr>
            <w:r>
              <w:t xml:space="preserve">1. Leisti Šalčininkų rajono savivaldybės administracijai viešojo konkurso būdu išnuomoti 5 metams, su galimybe sutartį pratęsti dar 5 metų terminui, negyvenamąsias patalpas Šalčininkų rajono savivaldybei nuosavybės teise priklausančiame pastate </w:t>
            </w:r>
            <w:r w:rsidRPr="00E160D3">
              <w:t>Mokyklos g. 9, Šalčininkėlių k., Šalčininkų sen., Šalčininkų r. sav. (pastato,  kuriame yra patalpos, unikalus Nr. 4400-0208-6620, pažymėjimas plane – 1U2/p)</w:t>
            </w:r>
            <w:r w:rsidR="00032B49">
              <w:t xml:space="preserve"> </w:t>
            </w:r>
            <w:r>
              <w:t>k</w:t>
            </w:r>
            <w:r w:rsidRPr="00920C68">
              <w:t>omercinei paslaugų teikimo veiklai vykdyti:</w:t>
            </w:r>
          </w:p>
          <w:p w14:paraId="09FD2134" w14:textId="292B8283" w:rsidR="00824C68" w:rsidRPr="00920C68" w:rsidRDefault="00824C68" w:rsidP="00824C68">
            <w:pPr>
              <w:ind w:firstLine="720"/>
              <w:jc w:val="both"/>
            </w:pPr>
            <w:r w:rsidRPr="00920C68">
              <w:t>1.1. 11,92 kv. m bendrojo ploto patalpas pažymėtas plane 1-37 su bendro naudojimo koridoriaus ir tualeto patalpomis pažymėtomis plane 1-32, 1-33, 1-39, 1-40, 1-41;</w:t>
            </w:r>
          </w:p>
          <w:p w14:paraId="4EEF912B" w14:textId="35697000" w:rsidR="00824C68" w:rsidRPr="00920C68" w:rsidRDefault="00824C68" w:rsidP="00824C68">
            <w:pPr>
              <w:ind w:firstLine="720"/>
              <w:jc w:val="both"/>
            </w:pPr>
            <w:r w:rsidRPr="00920C68">
              <w:t xml:space="preserve">1.2. 19,86 kv. m bendrojo ploto patalpas pažymėtas plane 1-75, 1-76 su bendro naudojimo koridoriaus ir tualeto patalpomis pažymėtomis plane 1-40, 1-41, 1-42, 1-53, 1-67, 1-74; </w:t>
            </w:r>
          </w:p>
          <w:p w14:paraId="57A1112F" w14:textId="2CD1E270" w:rsidR="00824C68" w:rsidRPr="00920C68" w:rsidRDefault="00824C68" w:rsidP="00824C68">
            <w:pPr>
              <w:ind w:firstLine="720"/>
              <w:jc w:val="both"/>
            </w:pPr>
            <w:r w:rsidRPr="00920C68">
              <w:t>1.3. 18,29 kv. m bendrojo ploto patalpas pažymėtas plane 1-72, 1-71 su bendro naudojimo koridoriaus ir tualeto patalpomis pažymėtomis plane 1-40, 1-41, 1-42, 1-53, 1-67, 1-74;</w:t>
            </w:r>
          </w:p>
          <w:p w14:paraId="591D2DDC" w14:textId="77777777" w:rsidR="00824C68" w:rsidRPr="00D13112" w:rsidRDefault="00824C68" w:rsidP="00824C68">
            <w:pPr>
              <w:ind w:firstLine="720"/>
              <w:jc w:val="both"/>
            </w:pPr>
            <w:r w:rsidRPr="00D13112">
              <w:t xml:space="preserve">2. Įgalioti </w:t>
            </w:r>
            <w:r>
              <w:t xml:space="preserve">Šalčininkų rajono savivaldybės administracijos </w:t>
            </w:r>
            <w:r w:rsidRPr="00D13112">
              <w:t>direktor</w:t>
            </w:r>
            <w:r>
              <w:t>ių</w:t>
            </w:r>
            <w:r w:rsidRPr="00D13112">
              <w:t xml:space="preserve"> </w:t>
            </w:r>
            <w:r>
              <w:t>Gžegožą Jurgo</w:t>
            </w:r>
            <w:r w:rsidRPr="00D13112">
              <w:t xml:space="preserve"> pasirašyti savivaldybės materialiojo turto nuomos sutart</w:t>
            </w:r>
            <w:r>
              <w:t>is</w:t>
            </w:r>
            <w:r w:rsidRPr="00D13112">
              <w:t>.</w:t>
            </w:r>
          </w:p>
          <w:p w14:paraId="15A0F9F2" w14:textId="7BC7736E" w:rsidR="0016067E" w:rsidRPr="0083292E" w:rsidRDefault="00727314" w:rsidP="007D7A96">
            <w:pPr>
              <w:jc w:val="both"/>
              <w:rPr>
                <w:color w:val="000000" w:themeColor="text1"/>
              </w:rPr>
            </w:pPr>
            <w:r>
              <w:t xml:space="preserve">     Biudžetinė Vladislavo Kozakevičiaus</w:t>
            </w:r>
            <w:r w:rsidRPr="00D13112">
              <w:t xml:space="preserve"> </w:t>
            </w:r>
            <w:r>
              <w:t>laisvalaikio ir sporto centra</w:t>
            </w:r>
            <w:r>
              <w:rPr>
                <w:lang w:eastAsia="lt-LT"/>
              </w:rPr>
              <w:t>s</w:t>
            </w:r>
            <w:r>
              <w:t xml:space="preserve"> kreipėsi su prašymu leisti išnuomoti negyvenamąsias patalpas, esančias </w:t>
            </w:r>
            <w:r w:rsidRPr="00E160D3">
              <w:t>Mokyklos g. 9, Šalčininkėlių k., Šalčininkų sen., Šalčininkų r. sav</w:t>
            </w:r>
            <w:r>
              <w:t>., k</w:t>
            </w:r>
            <w:r w:rsidRPr="00920C68">
              <w:t>omercinei paslaugų teikimo veiklai</w:t>
            </w:r>
            <w:r w:rsidR="00591B56">
              <w:t xml:space="preserve"> vykdyti</w:t>
            </w:r>
            <w:r>
              <w:t>.</w:t>
            </w:r>
          </w:p>
        </w:tc>
      </w:tr>
      <w:tr w:rsidR="00FC57AB" w:rsidRPr="0083292E" w14:paraId="257E452A" w14:textId="77777777" w:rsidTr="00866A56">
        <w:trPr>
          <w:trHeight w:val="6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6E48CA22" w:rsidR="00FC57AB" w:rsidRPr="0083292E" w:rsidRDefault="00170280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</w:t>
            </w:r>
            <w:r w:rsidR="00267060" w:rsidRPr="00267060">
              <w:rPr>
                <w:bCs/>
                <w:color w:val="000000" w:themeColor="text1"/>
              </w:rPr>
              <w:t xml:space="preserve">Projektas parengtas </w:t>
            </w:r>
            <w:r w:rsidR="00A53717">
              <w:rPr>
                <w:color w:val="000000"/>
              </w:rPr>
              <w:t xml:space="preserve">vadovaujantis </w:t>
            </w:r>
            <w:r w:rsidR="00824C68" w:rsidRPr="00D13112">
              <w:t>Lietuvos Respublikos vietos savivaldos įstatymo 15 straipsnio 2 dalies 19 punktu, Lietuvos Respublikos valstybės ir savivaldybių turto valdymo, naudojimo ir disponavimo juo įstatymo 15 straipsniu, rem</w:t>
            </w:r>
            <w:r w:rsidR="00824C68">
              <w:t>iantis</w:t>
            </w:r>
            <w:r w:rsidR="00824C68" w:rsidRPr="00D13112">
              <w:t xml:space="preserve"> Šalčininkų rajono savivaldybės materialiojo turto viešojo nuomos konkurso ir nuomos ne konkurso būdu organizavimo tvarkos aprašu, patvirtintu Šalčininkų rajono savivaldybės tarybos </w:t>
            </w:r>
            <w:bookmarkStart w:id="1" w:name="_Hlk91161622"/>
            <w:r w:rsidR="00824C68" w:rsidRPr="00D13112">
              <w:t>2019 m. lapkričio 5 d. sprendimu Nr. T-191,</w:t>
            </w:r>
            <w:r w:rsidR="00824C68">
              <w:t xml:space="preserve"> atsižvelgiant į Vladislavo Kozakevičiaus</w:t>
            </w:r>
            <w:r w:rsidR="00824C68" w:rsidRPr="00D13112">
              <w:t xml:space="preserve"> </w:t>
            </w:r>
            <w:bookmarkEnd w:id="1"/>
            <w:r w:rsidR="00824C68">
              <w:t>laisvalaikio ir sporto centro 2024 m. sausio 26 d. prašymą Nr. S-19.</w:t>
            </w:r>
          </w:p>
        </w:tc>
      </w:tr>
      <w:tr w:rsidR="008B37AB" w:rsidRPr="0083292E" w14:paraId="4E2C1E9C" w14:textId="77777777" w:rsidTr="00866A56">
        <w:trPr>
          <w:trHeight w:val="6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7BC5F09C" w:rsidR="008B37AB" w:rsidRPr="0083292E" w:rsidRDefault="00170280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lang w:eastAsia="lt-LT"/>
              </w:rPr>
              <w:t xml:space="preserve">     </w:t>
            </w:r>
            <w:r w:rsidR="00311BAE">
              <w:rPr>
                <w:lang w:eastAsia="lt-LT"/>
              </w:rPr>
              <w:t>S</w:t>
            </w:r>
            <w:r w:rsidR="00311BAE" w:rsidRPr="007D7C0E">
              <w:rPr>
                <w:lang w:eastAsia="lt-LT"/>
              </w:rPr>
              <w:t>antyki</w:t>
            </w:r>
            <w:r w:rsidR="00311BAE">
              <w:rPr>
                <w:lang w:eastAsia="lt-LT"/>
              </w:rPr>
              <w:t xml:space="preserve">ai </w:t>
            </w:r>
            <w:r w:rsidR="00311BAE" w:rsidRPr="007D7C0E">
              <w:rPr>
                <w:lang w:eastAsia="lt-LT"/>
              </w:rPr>
              <w:t>reglamentuot</w:t>
            </w:r>
            <w:r w:rsidR="00311BAE">
              <w:rPr>
                <w:lang w:eastAsia="lt-LT"/>
              </w:rPr>
              <w:t>i įstatymu</w:t>
            </w:r>
            <w:r w:rsidR="00D515C7">
              <w:rPr>
                <w:lang w:eastAsia="lt-LT"/>
              </w:rPr>
              <w:t xml:space="preserve"> ir</w:t>
            </w:r>
            <w:r w:rsidR="003760C0">
              <w:rPr>
                <w:lang w:eastAsia="lt-LT"/>
              </w:rPr>
              <w:t xml:space="preserve"> </w:t>
            </w:r>
            <w:r w:rsidR="00A53717">
              <w:t>Šalčininkų rajono savivaldybės ilgalaikio materialiojo turto viešojo nuomos konkurso ir nuomos ne konkurso būdu organizavimo tvarkos aprašu</w:t>
            </w:r>
            <w:r w:rsidR="003760C0">
              <w:rPr>
                <w:lang w:eastAsia="lt-LT"/>
              </w:rPr>
              <w:t>, patvirtintu</w:t>
            </w:r>
            <w:r w:rsidR="003760C0" w:rsidRPr="003760C0">
              <w:rPr>
                <w:lang w:eastAsia="lt-LT"/>
              </w:rPr>
              <w:t xml:space="preserve"> </w:t>
            </w:r>
            <w:r w:rsidR="00D515C7" w:rsidRPr="00D515C7">
              <w:rPr>
                <w:lang w:eastAsia="lt-LT"/>
              </w:rPr>
              <w:t>Šalčininkų rajono savivaldybės tarybos 20</w:t>
            </w:r>
            <w:r w:rsidR="00A53717">
              <w:rPr>
                <w:lang w:eastAsia="lt-LT"/>
              </w:rPr>
              <w:t xml:space="preserve">19 </w:t>
            </w:r>
            <w:r w:rsidR="00D515C7" w:rsidRPr="00D515C7">
              <w:rPr>
                <w:lang w:eastAsia="lt-LT"/>
              </w:rPr>
              <w:t xml:space="preserve">m. </w:t>
            </w:r>
            <w:r w:rsidR="00A53717">
              <w:rPr>
                <w:lang w:eastAsia="lt-LT"/>
              </w:rPr>
              <w:t>lapkričio</w:t>
            </w:r>
            <w:r w:rsidR="00D515C7" w:rsidRPr="00D515C7">
              <w:rPr>
                <w:lang w:eastAsia="lt-LT"/>
              </w:rPr>
              <w:t xml:space="preserve"> </w:t>
            </w:r>
            <w:r w:rsidR="00A53717">
              <w:rPr>
                <w:lang w:eastAsia="lt-LT"/>
              </w:rPr>
              <w:t>5</w:t>
            </w:r>
            <w:r w:rsidR="00D515C7" w:rsidRPr="00D515C7">
              <w:rPr>
                <w:lang w:eastAsia="lt-LT"/>
              </w:rPr>
              <w:t xml:space="preserve"> d. sprendimu Nr. T</w:t>
            </w:r>
            <w:r w:rsidR="00A53717">
              <w:rPr>
                <w:lang w:eastAsia="lt-LT"/>
              </w:rPr>
              <w:t>-191</w:t>
            </w:r>
            <w:r w:rsidR="00D515C7" w:rsidRPr="00D515C7">
              <w:rPr>
                <w:lang w:eastAsia="lt-LT"/>
              </w:rPr>
              <w:t xml:space="preserve"> ,,Dėl </w:t>
            </w:r>
            <w:r w:rsidR="00A53717">
              <w:t xml:space="preserve">Šalčininkų rajono savivaldybės ilgalaikio materialiojo turto viešojo nuomos konkurso ir nuomos ne konkurso būdu organizavimo tvarkos aprašo </w:t>
            </w:r>
            <w:r w:rsidR="00D515C7" w:rsidRPr="00D515C7">
              <w:rPr>
                <w:lang w:eastAsia="lt-LT"/>
              </w:rPr>
              <w:t>patvirtinimo“</w:t>
            </w:r>
            <w:r w:rsidR="00D515C7">
              <w:rPr>
                <w:lang w:eastAsia="lt-LT"/>
              </w:rPr>
              <w:t>.</w:t>
            </w:r>
          </w:p>
        </w:tc>
      </w:tr>
      <w:tr w:rsidR="008B37AB" w:rsidRPr="0083292E" w14:paraId="68CEAFFC" w14:textId="77777777" w:rsidTr="00866A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4160196F" w:rsidR="008B37AB" w:rsidRPr="0083292E" w:rsidRDefault="00907D57" w:rsidP="00D515C7">
            <w:pPr>
              <w:tabs>
                <w:tab w:val="left" w:pos="720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</w:t>
            </w:r>
          </w:p>
        </w:tc>
      </w:tr>
      <w:tr w:rsidR="008B37AB" w:rsidRPr="0083292E" w14:paraId="46F0C55E" w14:textId="77777777" w:rsidTr="00866A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24F38A35" w:rsidR="008B37AB" w:rsidRPr="0083292E" w:rsidRDefault="00311BAE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</w:t>
            </w:r>
          </w:p>
        </w:tc>
      </w:tr>
      <w:tr w:rsidR="008B37AB" w:rsidRPr="0083292E" w14:paraId="3433BBC5" w14:textId="77777777" w:rsidTr="00866A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19D5D752" w:rsidR="008B37AB" w:rsidRPr="0083292E" w:rsidRDefault="00311BAE" w:rsidP="008B37A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Nėra</w:t>
            </w:r>
          </w:p>
        </w:tc>
      </w:tr>
    </w:tbl>
    <w:p w14:paraId="72A2DD9E" w14:textId="77777777" w:rsidR="00866A56" w:rsidRDefault="00866A56" w:rsidP="00311BAE">
      <w:pPr>
        <w:rPr>
          <w:sz w:val="20"/>
          <w:szCs w:val="20"/>
        </w:rPr>
      </w:pPr>
    </w:p>
    <w:p w14:paraId="78100BAB" w14:textId="77777777" w:rsidR="00866A56" w:rsidRDefault="00866A56" w:rsidP="00311BAE">
      <w:pPr>
        <w:rPr>
          <w:sz w:val="20"/>
          <w:szCs w:val="20"/>
        </w:rPr>
      </w:pPr>
    </w:p>
    <w:p w14:paraId="632745FE" w14:textId="77777777" w:rsidR="00323B76" w:rsidRDefault="00323B76" w:rsidP="00311BAE">
      <w:pPr>
        <w:rPr>
          <w:sz w:val="20"/>
          <w:szCs w:val="20"/>
        </w:rPr>
      </w:pPr>
    </w:p>
    <w:p w14:paraId="20D7ACB7" w14:textId="77777777" w:rsidR="00193937" w:rsidRDefault="00193937" w:rsidP="00311BAE">
      <w:pPr>
        <w:rPr>
          <w:sz w:val="20"/>
          <w:szCs w:val="20"/>
        </w:rPr>
      </w:pPr>
    </w:p>
    <w:p w14:paraId="4959C201" w14:textId="77777777" w:rsidR="00193937" w:rsidRDefault="00193937" w:rsidP="00311BAE">
      <w:pPr>
        <w:rPr>
          <w:sz w:val="20"/>
          <w:szCs w:val="20"/>
        </w:rPr>
      </w:pPr>
    </w:p>
    <w:p w14:paraId="78D9B388" w14:textId="77777777" w:rsidR="00193937" w:rsidRDefault="00193937" w:rsidP="00311BAE">
      <w:pPr>
        <w:rPr>
          <w:sz w:val="20"/>
          <w:szCs w:val="20"/>
        </w:rPr>
      </w:pPr>
    </w:p>
    <w:p w14:paraId="1115B926" w14:textId="77777777" w:rsidR="00193937" w:rsidRDefault="00193937" w:rsidP="00311BAE">
      <w:pPr>
        <w:rPr>
          <w:sz w:val="20"/>
          <w:szCs w:val="20"/>
        </w:rPr>
      </w:pPr>
    </w:p>
    <w:p w14:paraId="010082F0" w14:textId="77777777" w:rsidR="00ED5A3E" w:rsidRDefault="00ED5A3E" w:rsidP="00311BAE">
      <w:pPr>
        <w:rPr>
          <w:sz w:val="20"/>
          <w:szCs w:val="20"/>
        </w:rPr>
      </w:pPr>
    </w:p>
    <w:p w14:paraId="5D9DF1DA" w14:textId="77777777" w:rsidR="00ED5A3E" w:rsidRDefault="00ED5A3E" w:rsidP="00311BAE">
      <w:pPr>
        <w:rPr>
          <w:sz w:val="20"/>
          <w:szCs w:val="20"/>
        </w:rPr>
      </w:pPr>
    </w:p>
    <w:p w14:paraId="2751A453" w14:textId="77777777" w:rsidR="00ED5A3E" w:rsidRDefault="00ED5A3E" w:rsidP="00311BAE">
      <w:pPr>
        <w:rPr>
          <w:sz w:val="20"/>
          <w:szCs w:val="20"/>
        </w:rPr>
      </w:pPr>
    </w:p>
    <w:p w14:paraId="3207D1BF" w14:textId="77777777" w:rsidR="00ED5A3E" w:rsidRDefault="00ED5A3E" w:rsidP="00311BAE">
      <w:pPr>
        <w:rPr>
          <w:sz w:val="20"/>
          <w:szCs w:val="20"/>
        </w:rPr>
      </w:pPr>
    </w:p>
    <w:p w14:paraId="19091BBD" w14:textId="77777777" w:rsidR="00ED5A3E" w:rsidRDefault="00ED5A3E" w:rsidP="00311BAE">
      <w:pPr>
        <w:rPr>
          <w:sz w:val="20"/>
          <w:szCs w:val="20"/>
        </w:rPr>
      </w:pPr>
    </w:p>
    <w:p w14:paraId="15967587" w14:textId="77777777" w:rsidR="00ED5A3E" w:rsidRDefault="00ED5A3E" w:rsidP="00311BAE">
      <w:pPr>
        <w:rPr>
          <w:sz w:val="20"/>
          <w:szCs w:val="20"/>
        </w:rPr>
      </w:pPr>
    </w:p>
    <w:p w14:paraId="2E60B6CC" w14:textId="77777777" w:rsidR="00ED5A3E" w:rsidRDefault="00ED5A3E" w:rsidP="00311BAE">
      <w:pPr>
        <w:rPr>
          <w:sz w:val="20"/>
          <w:szCs w:val="20"/>
        </w:rPr>
      </w:pPr>
    </w:p>
    <w:p w14:paraId="03AD9D68" w14:textId="77777777" w:rsidR="00ED5A3E" w:rsidRDefault="00ED5A3E" w:rsidP="00311BAE">
      <w:pPr>
        <w:rPr>
          <w:sz w:val="20"/>
          <w:szCs w:val="20"/>
        </w:rPr>
      </w:pPr>
    </w:p>
    <w:p w14:paraId="583ED8BD" w14:textId="77777777" w:rsidR="00ED5A3E" w:rsidRDefault="00ED5A3E" w:rsidP="00311BAE">
      <w:pPr>
        <w:rPr>
          <w:sz w:val="20"/>
          <w:szCs w:val="20"/>
        </w:rPr>
      </w:pPr>
    </w:p>
    <w:p w14:paraId="6B6F9F8D" w14:textId="77777777" w:rsidR="00ED5A3E" w:rsidRDefault="00ED5A3E" w:rsidP="00311BAE">
      <w:pPr>
        <w:rPr>
          <w:sz w:val="20"/>
          <w:szCs w:val="20"/>
        </w:rPr>
      </w:pPr>
    </w:p>
    <w:p w14:paraId="683FA012" w14:textId="77777777" w:rsidR="00ED5A3E" w:rsidRDefault="00ED5A3E" w:rsidP="00311BAE">
      <w:pPr>
        <w:rPr>
          <w:sz w:val="20"/>
          <w:szCs w:val="20"/>
        </w:rPr>
      </w:pPr>
    </w:p>
    <w:p w14:paraId="75834A08" w14:textId="77777777" w:rsidR="00ED5A3E" w:rsidRDefault="00ED5A3E" w:rsidP="00311BAE">
      <w:pPr>
        <w:rPr>
          <w:sz w:val="20"/>
          <w:szCs w:val="20"/>
        </w:rPr>
      </w:pPr>
    </w:p>
    <w:p w14:paraId="70DEF7CC" w14:textId="77777777" w:rsidR="00ED5A3E" w:rsidRDefault="00ED5A3E" w:rsidP="00311BAE">
      <w:pPr>
        <w:rPr>
          <w:sz w:val="20"/>
          <w:szCs w:val="20"/>
        </w:rPr>
      </w:pPr>
    </w:p>
    <w:p w14:paraId="752C316E" w14:textId="77777777" w:rsidR="00ED5A3E" w:rsidRDefault="00ED5A3E" w:rsidP="00311BAE">
      <w:pPr>
        <w:rPr>
          <w:sz w:val="20"/>
          <w:szCs w:val="20"/>
        </w:rPr>
      </w:pPr>
    </w:p>
    <w:p w14:paraId="0452BF1C" w14:textId="77777777" w:rsidR="00ED5A3E" w:rsidRDefault="00ED5A3E" w:rsidP="00311BAE">
      <w:pPr>
        <w:rPr>
          <w:sz w:val="20"/>
          <w:szCs w:val="20"/>
        </w:rPr>
      </w:pPr>
    </w:p>
    <w:p w14:paraId="6E9281DD" w14:textId="77777777" w:rsidR="00ED5A3E" w:rsidRDefault="00ED5A3E" w:rsidP="00311BAE">
      <w:pPr>
        <w:rPr>
          <w:sz w:val="20"/>
          <w:szCs w:val="20"/>
        </w:rPr>
      </w:pPr>
    </w:p>
    <w:p w14:paraId="09F81A6C" w14:textId="77777777" w:rsidR="00ED5A3E" w:rsidRDefault="00ED5A3E" w:rsidP="00311BAE">
      <w:pPr>
        <w:rPr>
          <w:sz w:val="20"/>
          <w:szCs w:val="20"/>
        </w:rPr>
      </w:pPr>
    </w:p>
    <w:p w14:paraId="24F3E77D" w14:textId="77777777" w:rsidR="00ED5A3E" w:rsidRDefault="00ED5A3E" w:rsidP="00311BAE">
      <w:pPr>
        <w:rPr>
          <w:sz w:val="20"/>
          <w:szCs w:val="20"/>
        </w:rPr>
      </w:pPr>
    </w:p>
    <w:p w14:paraId="0EAE42FE" w14:textId="77777777" w:rsidR="00ED5A3E" w:rsidRDefault="00ED5A3E" w:rsidP="00311BAE">
      <w:pPr>
        <w:rPr>
          <w:sz w:val="20"/>
          <w:szCs w:val="20"/>
        </w:rPr>
      </w:pPr>
    </w:p>
    <w:p w14:paraId="725D11CE" w14:textId="77777777" w:rsidR="00ED5A3E" w:rsidRDefault="00ED5A3E" w:rsidP="00311BAE">
      <w:pPr>
        <w:rPr>
          <w:sz w:val="20"/>
          <w:szCs w:val="20"/>
        </w:rPr>
      </w:pPr>
    </w:p>
    <w:p w14:paraId="2BDA576A" w14:textId="77777777" w:rsidR="00ED5A3E" w:rsidRDefault="00ED5A3E" w:rsidP="00311BAE">
      <w:pPr>
        <w:rPr>
          <w:sz w:val="20"/>
          <w:szCs w:val="20"/>
        </w:rPr>
      </w:pPr>
    </w:p>
    <w:p w14:paraId="3FF3DBD6" w14:textId="77777777" w:rsidR="00ED5A3E" w:rsidRDefault="00ED5A3E" w:rsidP="00311BAE">
      <w:pPr>
        <w:rPr>
          <w:sz w:val="20"/>
          <w:szCs w:val="20"/>
        </w:rPr>
      </w:pPr>
    </w:p>
    <w:p w14:paraId="47491126" w14:textId="77777777" w:rsidR="00ED5A3E" w:rsidRDefault="00ED5A3E" w:rsidP="00311BAE">
      <w:pPr>
        <w:rPr>
          <w:sz w:val="20"/>
          <w:szCs w:val="20"/>
        </w:rPr>
      </w:pPr>
    </w:p>
    <w:p w14:paraId="4AAEA0C5" w14:textId="77777777" w:rsidR="00ED5A3E" w:rsidRDefault="00ED5A3E" w:rsidP="00311BAE">
      <w:pPr>
        <w:rPr>
          <w:sz w:val="20"/>
          <w:szCs w:val="20"/>
        </w:rPr>
      </w:pPr>
    </w:p>
    <w:p w14:paraId="30AEA349" w14:textId="77777777" w:rsidR="00ED5A3E" w:rsidRDefault="00ED5A3E" w:rsidP="00311BAE">
      <w:pPr>
        <w:rPr>
          <w:sz w:val="20"/>
          <w:szCs w:val="20"/>
        </w:rPr>
      </w:pPr>
    </w:p>
    <w:p w14:paraId="3CF6D1B3" w14:textId="77777777" w:rsidR="00ED5A3E" w:rsidRDefault="00ED5A3E" w:rsidP="00311BAE">
      <w:pPr>
        <w:rPr>
          <w:sz w:val="20"/>
          <w:szCs w:val="20"/>
        </w:rPr>
      </w:pPr>
    </w:p>
    <w:p w14:paraId="62B21A3F" w14:textId="77777777" w:rsidR="00ED5A3E" w:rsidRDefault="00ED5A3E" w:rsidP="00311BAE">
      <w:pPr>
        <w:rPr>
          <w:sz w:val="20"/>
          <w:szCs w:val="20"/>
        </w:rPr>
      </w:pPr>
    </w:p>
    <w:p w14:paraId="26EC07B4" w14:textId="77777777" w:rsidR="00ED5A3E" w:rsidRDefault="00ED5A3E" w:rsidP="00311BAE">
      <w:pPr>
        <w:rPr>
          <w:sz w:val="20"/>
          <w:szCs w:val="20"/>
        </w:rPr>
      </w:pPr>
    </w:p>
    <w:p w14:paraId="6892EF2D" w14:textId="77777777" w:rsidR="00ED5A3E" w:rsidRDefault="00ED5A3E" w:rsidP="00311BAE">
      <w:pPr>
        <w:rPr>
          <w:sz w:val="20"/>
          <w:szCs w:val="20"/>
        </w:rPr>
      </w:pPr>
    </w:p>
    <w:p w14:paraId="44307877" w14:textId="77777777" w:rsidR="00ED5A3E" w:rsidRDefault="00ED5A3E" w:rsidP="00311BAE">
      <w:pPr>
        <w:rPr>
          <w:sz w:val="20"/>
          <w:szCs w:val="20"/>
        </w:rPr>
      </w:pPr>
    </w:p>
    <w:p w14:paraId="601FB4D4" w14:textId="77777777" w:rsidR="00ED5A3E" w:rsidRDefault="00ED5A3E" w:rsidP="00311BAE">
      <w:pPr>
        <w:rPr>
          <w:sz w:val="20"/>
          <w:szCs w:val="20"/>
        </w:rPr>
      </w:pPr>
    </w:p>
    <w:p w14:paraId="470C9851" w14:textId="77777777" w:rsidR="00ED5A3E" w:rsidRDefault="00ED5A3E" w:rsidP="00311BAE">
      <w:pPr>
        <w:rPr>
          <w:sz w:val="20"/>
          <w:szCs w:val="20"/>
        </w:rPr>
      </w:pPr>
    </w:p>
    <w:p w14:paraId="61B2CF6F" w14:textId="77777777" w:rsidR="00323B76" w:rsidRDefault="00323B76" w:rsidP="00311BAE">
      <w:pPr>
        <w:rPr>
          <w:sz w:val="20"/>
          <w:szCs w:val="20"/>
        </w:rPr>
      </w:pPr>
    </w:p>
    <w:p w14:paraId="0017DC89" w14:textId="77777777" w:rsidR="00323B76" w:rsidRDefault="00323B76" w:rsidP="00311BAE">
      <w:pPr>
        <w:rPr>
          <w:sz w:val="20"/>
          <w:szCs w:val="20"/>
        </w:rPr>
      </w:pPr>
    </w:p>
    <w:p w14:paraId="5479DD0F" w14:textId="77777777" w:rsidR="00D47E21" w:rsidRDefault="00D47E21" w:rsidP="00D47E21">
      <w:pPr>
        <w:rPr>
          <w:sz w:val="20"/>
          <w:szCs w:val="20"/>
        </w:rPr>
      </w:pPr>
    </w:p>
    <w:p w14:paraId="62226FB3" w14:textId="77777777" w:rsidR="00D47E21" w:rsidRDefault="00D47E21" w:rsidP="00D47E21">
      <w:r>
        <w:rPr>
          <w:sz w:val="20"/>
          <w:szCs w:val="20"/>
        </w:rPr>
        <w:t>Jolanta Galin, Turto valdymo skyrius, tel.: (8 380) 20133, el. paštas: jolanta.galin@salcininkai.lt</w:t>
      </w:r>
    </w:p>
    <w:p w14:paraId="0B029418" w14:textId="1C827972" w:rsidR="00941E1B" w:rsidRPr="00866A56" w:rsidRDefault="00941E1B" w:rsidP="00D47E21">
      <w:pPr>
        <w:rPr>
          <w:sz w:val="20"/>
          <w:szCs w:val="20"/>
        </w:rPr>
      </w:pPr>
    </w:p>
    <w:sectPr w:rsidR="00941E1B" w:rsidRPr="00866A56" w:rsidSect="000657D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291A0" w14:textId="77777777" w:rsidR="000657D7" w:rsidRDefault="000657D7">
      <w:r>
        <w:separator/>
      </w:r>
    </w:p>
  </w:endnote>
  <w:endnote w:type="continuationSeparator" w:id="0">
    <w:p w14:paraId="15AEE986" w14:textId="77777777" w:rsidR="000657D7" w:rsidRDefault="000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062CB" w14:textId="77777777" w:rsidR="000657D7" w:rsidRDefault="000657D7">
      <w:r>
        <w:separator/>
      </w:r>
    </w:p>
  </w:footnote>
  <w:footnote w:type="continuationSeparator" w:id="0">
    <w:p w14:paraId="48703435" w14:textId="77777777" w:rsidR="000657D7" w:rsidRDefault="0006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3"/>
    <w:lvlOverride w:ilvl="0">
      <w:startOverride w:val="1"/>
    </w:lvlOverride>
  </w:num>
  <w:num w:numId="3">
    <w:abstractNumId w:val="24"/>
  </w:num>
  <w:num w:numId="4">
    <w:abstractNumId w:val="12"/>
  </w:num>
  <w:num w:numId="5">
    <w:abstractNumId w:val="29"/>
  </w:num>
  <w:num w:numId="6">
    <w:abstractNumId w:val="2"/>
  </w:num>
  <w:num w:numId="7">
    <w:abstractNumId w:val="11"/>
  </w:num>
  <w:num w:numId="8">
    <w:abstractNumId w:val="1"/>
  </w:num>
  <w:num w:numId="9">
    <w:abstractNumId w:val="22"/>
  </w:num>
  <w:num w:numId="10">
    <w:abstractNumId w:val="28"/>
  </w:num>
  <w:num w:numId="11">
    <w:abstractNumId w:val="20"/>
  </w:num>
  <w:num w:numId="12">
    <w:abstractNumId w:val="27"/>
  </w:num>
  <w:num w:numId="13">
    <w:abstractNumId w:val="0"/>
  </w:num>
  <w:num w:numId="14">
    <w:abstractNumId w:val="3"/>
  </w:num>
  <w:num w:numId="15">
    <w:abstractNumId w:val="17"/>
  </w:num>
  <w:num w:numId="16">
    <w:abstractNumId w:val="10"/>
  </w:num>
  <w:num w:numId="17">
    <w:abstractNumId w:val="18"/>
  </w:num>
  <w:num w:numId="18">
    <w:abstractNumId w:val="21"/>
  </w:num>
  <w:num w:numId="19">
    <w:abstractNumId w:val="8"/>
  </w:num>
  <w:num w:numId="20">
    <w:abstractNumId w:val="16"/>
  </w:num>
  <w:num w:numId="21">
    <w:abstractNumId w:val="26"/>
  </w:num>
  <w:num w:numId="22">
    <w:abstractNumId w:val="25"/>
  </w:num>
  <w:num w:numId="23">
    <w:abstractNumId w:val="14"/>
  </w:num>
  <w:num w:numId="24">
    <w:abstractNumId w:val="7"/>
  </w:num>
  <w:num w:numId="25">
    <w:abstractNumId w:val="5"/>
  </w:num>
  <w:num w:numId="26">
    <w:abstractNumId w:val="13"/>
  </w:num>
  <w:num w:numId="27">
    <w:abstractNumId w:val="4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2B49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657D7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74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4DF9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067E"/>
    <w:rsid w:val="001622F4"/>
    <w:rsid w:val="00162591"/>
    <w:rsid w:val="00162D35"/>
    <w:rsid w:val="00162F9C"/>
    <w:rsid w:val="00163D57"/>
    <w:rsid w:val="00164ACD"/>
    <w:rsid w:val="00170280"/>
    <w:rsid w:val="00170DE5"/>
    <w:rsid w:val="00172410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3937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B78C1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7D9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060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4ACA"/>
    <w:rsid w:val="002C4E5D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BA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3B76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67E0F"/>
    <w:rsid w:val="0037256C"/>
    <w:rsid w:val="00374FD5"/>
    <w:rsid w:val="003760C0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0B5E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3CC9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B56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BCA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26AB"/>
    <w:rsid w:val="006D4303"/>
    <w:rsid w:val="006D4CA9"/>
    <w:rsid w:val="006D55E2"/>
    <w:rsid w:val="006D6C63"/>
    <w:rsid w:val="006D7AE3"/>
    <w:rsid w:val="006E3F42"/>
    <w:rsid w:val="006E4971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314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44F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5F3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A96"/>
    <w:rsid w:val="007D7C0E"/>
    <w:rsid w:val="007E61AD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24C68"/>
    <w:rsid w:val="008336D2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5BB4"/>
    <w:rsid w:val="008566FD"/>
    <w:rsid w:val="008610F9"/>
    <w:rsid w:val="00861885"/>
    <w:rsid w:val="00865398"/>
    <w:rsid w:val="00865E33"/>
    <w:rsid w:val="00866A56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2E1F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07D57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51AE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20C0"/>
    <w:rsid w:val="009E4864"/>
    <w:rsid w:val="009E5920"/>
    <w:rsid w:val="009E68A0"/>
    <w:rsid w:val="009F030F"/>
    <w:rsid w:val="009F19D5"/>
    <w:rsid w:val="009F2C5E"/>
    <w:rsid w:val="009F2E97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3717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81D"/>
    <w:rsid w:val="00AE7CBE"/>
    <w:rsid w:val="00AF0857"/>
    <w:rsid w:val="00AF6632"/>
    <w:rsid w:val="00B0136B"/>
    <w:rsid w:val="00B02E4A"/>
    <w:rsid w:val="00B03A96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0780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BF6B11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47E21"/>
    <w:rsid w:val="00D50BF7"/>
    <w:rsid w:val="00D515C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1103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3322"/>
    <w:rsid w:val="00EC7695"/>
    <w:rsid w:val="00ED12D0"/>
    <w:rsid w:val="00ED18C5"/>
    <w:rsid w:val="00ED46EA"/>
    <w:rsid w:val="00ED5A3E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27755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FC57AB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7273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2832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HP650</cp:lastModifiedBy>
  <cp:revision>2</cp:revision>
  <cp:lastPrinted>2014-01-08T15:08:00Z</cp:lastPrinted>
  <dcterms:created xsi:type="dcterms:W3CDTF">2024-02-05T15:28:00Z</dcterms:created>
  <dcterms:modified xsi:type="dcterms:W3CDTF">2024-02-05T15:28:00Z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