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15A0F9F2" w14:textId="7C8994AA" w:rsidR="00997476" w:rsidRPr="0083292E" w:rsidRDefault="009B5FBB" w:rsidP="007E1555">
            <w:pPr>
              <w:jc w:val="both"/>
              <w:rPr>
                <w:color w:val="000000" w:themeColor="text1"/>
              </w:rPr>
            </w:pPr>
            <w:r>
              <w:rPr>
                <w:color w:val="000000" w:themeColor="text1"/>
              </w:rPr>
              <w:t>Pat</w:t>
            </w:r>
            <w:r w:rsidR="00335621">
              <w:rPr>
                <w:color w:val="000000" w:themeColor="text1"/>
              </w:rPr>
              <w:t>virtinti Šalčininkų rajono savivaldybės 2</w:t>
            </w:r>
            <w:r>
              <w:rPr>
                <w:color w:val="000000" w:themeColor="text1"/>
              </w:rPr>
              <w:t>02</w:t>
            </w:r>
            <w:r w:rsidR="00335621">
              <w:rPr>
                <w:color w:val="000000" w:themeColor="text1"/>
              </w:rPr>
              <w:t>4</w:t>
            </w:r>
            <w:r>
              <w:rPr>
                <w:color w:val="000000" w:themeColor="text1"/>
              </w:rPr>
              <w:t xml:space="preserve"> metų biudžet</w:t>
            </w:r>
            <w:r w:rsidR="00335621">
              <w:rPr>
                <w:color w:val="000000" w:themeColor="text1"/>
              </w:rPr>
              <w:t>ą.</w:t>
            </w:r>
            <w:r>
              <w:rPr>
                <w:color w:val="000000" w:themeColor="text1"/>
              </w:rPr>
              <w:t xml:space="preserve"> </w:t>
            </w:r>
          </w:p>
        </w:tc>
      </w:tr>
      <w:tr w:rsidR="00FC57AB" w:rsidRPr="0083292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18DF66DD" w:rsidR="00FC57AB" w:rsidRPr="0083292E" w:rsidRDefault="00335621" w:rsidP="007E1555">
            <w:pPr>
              <w:tabs>
                <w:tab w:val="left" w:pos="720"/>
              </w:tabs>
              <w:jc w:val="both"/>
              <w:rPr>
                <w:bCs/>
                <w:color w:val="000000" w:themeColor="text1"/>
              </w:rPr>
            </w:pPr>
            <w:r w:rsidRPr="004D687C">
              <w:rPr>
                <w:lang w:eastAsia="lt-LT"/>
              </w:rPr>
              <w:t>Vadovaudamasi Lietuvos Respublikos biudžeto sandaros įstatym</w:t>
            </w:r>
            <w:r>
              <w:rPr>
                <w:lang w:eastAsia="lt-LT"/>
              </w:rPr>
              <w:t>o 26 straipsnio 4 dalimi</w:t>
            </w:r>
            <w:r w:rsidRPr="004D687C">
              <w:rPr>
                <w:lang w:eastAsia="lt-LT"/>
              </w:rPr>
              <w:t>,</w:t>
            </w:r>
            <w:r>
              <w:rPr>
                <w:lang w:eastAsia="lt-LT"/>
              </w:rPr>
              <w:t xml:space="preserve"> Lietuvos Respublikos vietos savivaldos įstatymo </w:t>
            </w:r>
            <w:r w:rsidR="0053005F">
              <w:rPr>
                <w:lang w:eastAsia="lt-LT"/>
              </w:rPr>
              <w:t>15</w:t>
            </w:r>
            <w:r>
              <w:rPr>
                <w:lang w:eastAsia="lt-LT"/>
              </w:rPr>
              <w:t xml:space="preserve"> straipsnio 2 dalies </w:t>
            </w:r>
            <w:r w:rsidR="0053005F">
              <w:rPr>
                <w:lang w:eastAsia="lt-LT"/>
              </w:rPr>
              <w:t>12</w:t>
            </w:r>
            <w:r>
              <w:rPr>
                <w:lang w:eastAsia="lt-LT"/>
              </w:rPr>
              <w:t xml:space="preserve"> punktu, </w:t>
            </w:r>
            <w:r w:rsidRPr="004D687C">
              <w:rPr>
                <w:lang w:eastAsia="lt-LT"/>
              </w:rPr>
              <w:t xml:space="preserve"> Lietuvos Respublikos 202</w:t>
            </w:r>
            <w:r>
              <w:rPr>
                <w:lang w:eastAsia="lt-LT"/>
              </w:rPr>
              <w:t>4</w:t>
            </w:r>
            <w:r w:rsidRPr="004D687C">
              <w:rPr>
                <w:lang w:eastAsia="lt-LT"/>
              </w:rPr>
              <w:t xml:space="preserve"> metų valstybės biudžeto ir savivaldybių biudžetų finansinių rodiklių patvirtinimo įstatymu, remdamasi Lietuvos Respublikos Vyriausybės 2001 m. gegužės 14 d. nutarimu Nr. 543 „Dėl Lietuvos Respublikos valstybės biudžeto ir savivaldybių biudžetų sudarymo ir vykdymo taisyklių patvirtinimo“</w:t>
            </w:r>
          </w:p>
        </w:tc>
      </w:tr>
      <w:tr w:rsidR="008B37AB"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1AFD5F58" w:rsidR="008B37AB" w:rsidRPr="0083292E" w:rsidRDefault="0004033E" w:rsidP="008B37AB">
            <w:pPr>
              <w:tabs>
                <w:tab w:val="left" w:pos="720"/>
              </w:tabs>
              <w:jc w:val="both"/>
              <w:rPr>
                <w:bCs/>
                <w:color w:val="000000" w:themeColor="text1"/>
              </w:rPr>
            </w:pPr>
            <w:r>
              <w:rPr>
                <w:bCs/>
                <w:color w:val="000000" w:themeColor="text1"/>
              </w:rPr>
              <w:t>Nėra</w:t>
            </w:r>
          </w:p>
        </w:tc>
      </w:tr>
      <w:tr w:rsidR="008B37AB"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7919E371" w:rsidR="008B37AB" w:rsidRPr="0083292E" w:rsidRDefault="00335621" w:rsidP="00335621">
            <w:pPr>
              <w:tabs>
                <w:tab w:val="left" w:pos="720"/>
              </w:tabs>
              <w:jc w:val="both"/>
              <w:rPr>
                <w:bCs/>
                <w:color w:val="000000" w:themeColor="text1"/>
              </w:rPr>
            </w:pPr>
            <w:r>
              <w:rPr>
                <w:bCs/>
                <w:color w:val="000000" w:themeColor="text1"/>
              </w:rPr>
              <w:t>Lietuvos Respublikos 2024 m. valstybės biudžeto ir savivaldybės biudžetinių finansinių rodiklių patvirtinimo įstatymas</w:t>
            </w:r>
          </w:p>
        </w:tc>
      </w:tr>
      <w:tr w:rsidR="008B37AB"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266B2288" w:rsidR="008B37AB" w:rsidRPr="0083292E" w:rsidRDefault="0004033E" w:rsidP="008B37AB">
            <w:pPr>
              <w:tabs>
                <w:tab w:val="left" w:pos="720"/>
                <w:tab w:val="left" w:pos="1067"/>
              </w:tabs>
              <w:jc w:val="both"/>
              <w:rPr>
                <w:color w:val="000000" w:themeColor="text1"/>
              </w:rPr>
            </w:pPr>
            <w:r>
              <w:rPr>
                <w:color w:val="000000" w:themeColor="text1"/>
              </w:rPr>
              <w:t>N</w:t>
            </w:r>
            <w:r w:rsidR="0049515B">
              <w:rPr>
                <w:color w:val="000000" w:themeColor="text1"/>
              </w:rPr>
              <w:t>e</w:t>
            </w:r>
            <w:r>
              <w:rPr>
                <w:color w:val="000000" w:themeColor="text1"/>
              </w:rPr>
              <w:t>vertinantis</w:t>
            </w:r>
          </w:p>
        </w:tc>
      </w:tr>
      <w:tr w:rsidR="008B37AB"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64ACA99D" w:rsidR="008B37AB" w:rsidRPr="0083292E" w:rsidRDefault="0004033E" w:rsidP="008B37AB">
            <w:pPr>
              <w:jc w:val="both"/>
              <w:rPr>
                <w:color w:val="000000" w:themeColor="text1"/>
              </w:rPr>
            </w:pPr>
            <w:r>
              <w:rPr>
                <w:color w:val="000000" w:themeColor="text1"/>
              </w:rPr>
              <w:t>Nereikalinga</w:t>
            </w:r>
          </w:p>
        </w:tc>
      </w:tr>
    </w:tbl>
    <w:p w14:paraId="2F419C25" w14:textId="2E116E7A" w:rsidR="00B90549" w:rsidRPr="009B5FBB" w:rsidRDefault="009B5FBB" w:rsidP="00E012C4">
      <w:r>
        <w:t>Jelena Uljanovič, Biudžeto ir finansų skyriaus vedėja, el.p. jelena.uljanovic</w:t>
      </w:r>
      <w:r w:rsidRPr="009B5FBB">
        <w:t>@</w:t>
      </w:r>
      <w:r>
        <w:t>salcininkai.lt</w:t>
      </w:r>
    </w:p>
    <w:sectPr w:rsidR="00B90549" w:rsidRPr="009B5FBB" w:rsidSect="0086622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9739" w14:textId="77777777" w:rsidR="0086622E" w:rsidRDefault="0086622E">
      <w:r>
        <w:separator/>
      </w:r>
    </w:p>
  </w:endnote>
  <w:endnote w:type="continuationSeparator" w:id="0">
    <w:p w14:paraId="239745FC" w14:textId="77777777" w:rsidR="0086622E" w:rsidRDefault="0086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F6E1" w14:textId="77777777" w:rsidR="0086622E" w:rsidRDefault="0086622E">
      <w:r>
        <w:separator/>
      </w:r>
    </w:p>
  </w:footnote>
  <w:footnote w:type="continuationSeparator" w:id="0">
    <w:p w14:paraId="6AB5084B" w14:textId="77777777" w:rsidR="0086622E" w:rsidRDefault="00866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033E"/>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A60D0"/>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68DA"/>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621"/>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515B"/>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4709"/>
    <w:rsid w:val="00516B9F"/>
    <w:rsid w:val="00517676"/>
    <w:rsid w:val="0052159E"/>
    <w:rsid w:val="00522DDB"/>
    <w:rsid w:val="00523C51"/>
    <w:rsid w:val="00525151"/>
    <w:rsid w:val="0053005F"/>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2D2"/>
    <w:rsid w:val="00810572"/>
    <w:rsid w:val="00810D55"/>
    <w:rsid w:val="00813646"/>
    <w:rsid w:val="00814153"/>
    <w:rsid w:val="00816C2B"/>
    <w:rsid w:val="0082454B"/>
    <w:rsid w:val="0082479F"/>
    <w:rsid w:val="008342CC"/>
    <w:rsid w:val="008346F4"/>
    <w:rsid w:val="00834F51"/>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6622E"/>
    <w:rsid w:val="00871F77"/>
    <w:rsid w:val="00873D75"/>
    <w:rsid w:val="008743C2"/>
    <w:rsid w:val="00874D02"/>
    <w:rsid w:val="0087571F"/>
    <w:rsid w:val="0087573B"/>
    <w:rsid w:val="00875A8C"/>
    <w:rsid w:val="008767E0"/>
    <w:rsid w:val="00877688"/>
    <w:rsid w:val="008836F1"/>
    <w:rsid w:val="0088422A"/>
    <w:rsid w:val="00884ACD"/>
    <w:rsid w:val="00886DEB"/>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228F"/>
    <w:rsid w:val="009838C1"/>
    <w:rsid w:val="00983D73"/>
    <w:rsid w:val="00987791"/>
    <w:rsid w:val="009878DE"/>
    <w:rsid w:val="0099037F"/>
    <w:rsid w:val="0099090D"/>
    <w:rsid w:val="00991D98"/>
    <w:rsid w:val="009927D5"/>
    <w:rsid w:val="00992AED"/>
    <w:rsid w:val="00995CE2"/>
    <w:rsid w:val="00996354"/>
    <w:rsid w:val="00997476"/>
    <w:rsid w:val="00997C04"/>
    <w:rsid w:val="009A05F5"/>
    <w:rsid w:val="009A1607"/>
    <w:rsid w:val="009A486E"/>
    <w:rsid w:val="009A4B5D"/>
    <w:rsid w:val="009A506C"/>
    <w:rsid w:val="009A6AB8"/>
    <w:rsid w:val="009B021A"/>
    <w:rsid w:val="009B0AC4"/>
    <w:rsid w:val="009B2493"/>
    <w:rsid w:val="009B4DE5"/>
    <w:rsid w:val="009B5441"/>
    <w:rsid w:val="009B56B7"/>
    <w:rsid w:val="009B5FBB"/>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59F5"/>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5A80"/>
    <w:rsid w:val="00AF6632"/>
    <w:rsid w:val="00B0136B"/>
    <w:rsid w:val="00B02E4A"/>
    <w:rsid w:val="00B05415"/>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8B9"/>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10E"/>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B6B56"/>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 w:type="paragraph" w:styleId="prastasiniatinklio">
    <w:name w:val="Normal (Web)"/>
    <w:basedOn w:val="prastasis"/>
    <w:uiPriority w:val="99"/>
    <w:semiHidden/>
    <w:unhideWhenUsed/>
    <w:locked/>
    <w:rsid w:val="0033562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2898">
      <w:bodyDiv w:val="1"/>
      <w:marLeft w:val="0"/>
      <w:marRight w:val="0"/>
      <w:marTop w:val="0"/>
      <w:marBottom w:val="0"/>
      <w:divBdr>
        <w:top w:val="none" w:sz="0" w:space="0" w:color="auto"/>
        <w:left w:val="none" w:sz="0" w:space="0" w:color="auto"/>
        <w:bottom w:val="none" w:sz="0" w:space="0" w:color="auto"/>
        <w:right w:val="none" w:sz="0" w:space="0" w:color="auto"/>
      </w:divBdr>
    </w:div>
    <w:div w:id="1033114452">
      <w:bodyDiv w:val="1"/>
      <w:marLeft w:val="0"/>
      <w:marRight w:val="0"/>
      <w:marTop w:val="0"/>
      <w:marBottom w:val="0"/>
      <w:divBdr>
        <w:top w:val="none" w:sz="0" w:space="0" w:color="auto"/>
        <w:left w:val="none" w:sz="0" w:space="0" w:color="auto"/>
        <w:bottom w:val="none" w:sz="0" w:space="0" w:color="auto"/>
        <w:right w:val="none" w:sz="0" w:space="0" w:color="auto"/>
      </w:divBdr>
    </w:div>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1287</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2023-06-09T08:24:00Z</cp:lastPrinted>
  <dcterms:created xsi:type="dcterms:W3CDTF">2024-02-06T14:53:00Z</dcterms:created>
  <dcterms:modified xsi:type="dcterms:W3CDTF">2024-02-06T14:53:00Z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