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338BF" w14:textId="77777777" w:rsidR="00A40DAA" w:rsidRDefault="00E86E7F">
      <w:pPr>
        <w:jc w:val="center"/>
        <w:rPr>
          <w:b/>
          <w:sz w:val="22"/>
          <w:szCs w:val="22"/>
        </w:rPr>
      </w:pPr>
      <w:r>
        <w:rPr>
          <w:b/>
          <w:sz w:val="22"/>
          <w:szCs w:val="22"/>
        </w:rPr>
        <w:t>Aiškinamasis raštas</w:t>
      </w:r>
    </w:p>
    <w:p w14:paraId="512338C0" w14:textId="77777777" w:rsidR="00A40DAA" w:rsidRDefault="00A40DAA">
      <w:pPr>
        <w:rPr>
          <w:b/>
          <w:sz w:val="22"/>
          <w:szCs w:val="22"/>
        </w:rPr>
      </w:pPr>
    </w:p>
    <w:tbl>
      <w:tblPr>
        <w:tblW w:w="9526" w:type="dxa"/>
        <w:tblInd w:w="-5" w:type="dxa"/>
        <w:tblLayout w:type="fixed"/>
        <w:tblLook w:val="0000" w:firstRow="0" w:lastRow="0" w:firstColumn="0" w:lastColumn="0" w:noHBand="0" w:noVBand="0"/>
      </w:tblPr>
      <w:tblGrid>
        <w:gridCol w:w="516"/>
        <w:gridCol w:w="2603"/>
        <w:gridCol w:w="6407"/>
      </w:tblGrid>
      <w:tr w:rsidR="00A40DAA" w14:paraId="512338C8" w14:textId="77777777">
        <w:trPr>
          <w:trHeight w:val="467"/>
        </w:trPr>
        <w:tc>
          <w:tcPr>
            <w:tcW w:w="516" w:type="dxa"/>
            <w:tcBorders>
              <w:top w:val="single" w:sz="4" w:space="0" w:color="000000"/>
              <w:left w:val="single" w:sz="4" w:space="0" w:color="000000"/>
              <w:bottom w:val="single" w:sz="4" w:space="0" w:color="000000"/>
              <w:right w:val="single" w:sz="4" w:space="0" w:color="000000"/>
            </w:tcBorders>
          </w:tcPr>
          <w:p w14:paraId="512338C1" w14:textId="77777777" w:rsidR="00A40DAA" w:rsidRDefault="00E86E7F">
            <w:pPr>
              <w:rPr>
                <w:color w:val="000000"/>
                <w:sz w:val="22"/>
                <w:szCs w:val="22"/>
              </w:rPr>
            </w:pPr>
            <w:r>
              <w:rPr>
                <w:color w:val="000000"/>
                <w:sz w:val="22"/>
                <w:szCs w:val="22"/>
              </w:rPr>
              <w:t>1.</w:t>
            </w:r>
          </w:p>
        </w:tc>
        <w:tc>
          <w:tcPr>
            <w:tcW w:w="2603" w:type="dxa"/>
            <w:tcBorders>
              <w:top w:val="single" w:sz="4" w:space="0" w:color="000000"/>
              <w:left w:val="single" w:sz="4" w:space="0" w:color="000000"/>
              <w:bottom w:val="single" w:sz="4" w:space="0" w:color="000000"/>
              <w:right w:val="single" w:sz="4" w:space="0" w:color="000000"/>
            </w:tcBorders>
          </w:tcPr>
          <w:p w14:paraId="512338C2" w14:textId="77777777" w:rsidR="00A40DAA" w:rsidRDefault="00E86E7F">
            <w:pPr>
              <w:rPr>
                <w:color w:val="000000"/>
                <w:sz w:val="22"/>
                <w:szCs w:val="22"/>
              </w:rPr>
            </w:pPr>
            <w:r>
              <w:rPr>
                <w:sz w:val="22"/>
                <w:szCs w:val="22"/>
              </w:rPr>
              <w:t>Parengto projekto tikslai ir uždaviniai, laukiami rezultatai</w:t>
            </w:r>
          </w:p>
        </w:tc>
        <w:tc>
          <w:tcPr>
            <w:tcW w:w="6407" w:type="dxa"/>
            <w:tcBorders>
              <w:top w:val="single" w:sz="4" w:space="0" w:color="000000"/>
              <w:left w:val="single" w:sz="4" w:space="0" w:color="000000"/>
              <w:bottom w:val="single" w:sz="4" w:space="0" w:color="000000"/>
              <w:right w:val="single" w:sz="4" w:space="0" w:color="000000"/>
            </w:tcBorders>
          </w:tcPr>
          <w:p w14:paraId="512338C3" w14:textId="77777777" w:rsidR="00A40DAA" w:rsidRDefault="00E86E7F">
            <w:pPr>
              <w:ind w:left="-142"/>
              <w:jc w:val="both"/>
            </w:pPr>
            <w:r>
              <w:t xml:space="preserve">Šiuo sprendimo projektu siūloma patvirtinti Piniginės socialinės paramos nepasiturintiems Šalčininkų rajono savivaldybės gyventojams teikimo tvarkos aprašą. </w:t>
            </w:r>
            <w:r>
              <w:rPr>
                <w:color w:val="000000"/>
              </w:rPr>
              <w:t>Atsižvelgiant į tai, kad patvirtintas Lietuvos Respublikos piniginės socialinės paramos nepasiturintiems gyventojams įstatymo Nr. IX-1675 2, 4, 7, 8, 10, 14, 15, 16, 17, 18, 19, 23, 25, 26</w:t>
            </w:r>
            <w:r>
              <w:rPr>
                <w:b/>
                <w:bCs/>
                <w:color w:val="000000"/>
              </w:rPr>
              <w:t> </w:t>
            </w:r>
            <w:r>
              <w:rPr>
                <w:color w:val="000000"/>
              </w:rPr>
              <w:t>straipsnių ir priedo pakeitimo įstatymas, kurio </w:t>
            </w:r>
            <w:r>
              <w:rPr>
                <w:i/>
                <w:iCs/>
                <w:color w:val="000000"/>
              </w:rPr>
              <w:t>tikslas</w:t>
            </w:r>
            <w:r>
              <w:rPr>
                <w:color w:val="000000"/>
              </w:rPr>
              <w:t xml:space="preserve"> – didinti piniginės socialinės paramos nepasiturintiems gyventojams prieinamumą ir adekvatumą, paskatas integruotis į darbo rinką, Piniginės socialinės paramos nepasiturintiems Šalčininkų rajono savivaldybės gyventojams teikimo tvarkos aprašo (toliau – Tvarkos aprašas) projekto viena iš uždavinių yra – siekti, kad piniginei socialinei paramai skirtos lėšos būtų efektyviau naudojamos, o socialinė parama būtų teikiama tiems, kam iš tiesų jos reikia, puoselėti paskatas dirbti, mažinti ilgalaikę priklausomybę </w:t>
            </w:r>
            <w:r>
              <w:rPr>
                <w:color w:val="000000"/>
              </w:rPr>
              <w:t>nuo piniginės socialinės paramos sistemos, taikyti efektyvias priemones užkertant kelią piktnaudžiavimams parama. Tvarkos aprašo projektas numato daug pakeitimų, skiriant tikslines pašalpas gyventojams. Siekiama, kad skiriamos pašalpos gyventojams padėtų realiai išspręsti susidariusią sunkią materialinę situaciją, o taip pat siekiama užtikrinti pašalpos skyrimą tik tiems gyventojams, kuriems tikrai jos reikia bei sumažinti savivaldybės biudžeto lėšų išlaidas. Taip pat siūloma gyventojams, kurie serga sunkio</w:t>
            </w:r>
            <w:r>
              <w:rPr>
                <w:color w:val="000000"/>
              </w:rPr>
              <w:t>mis ligomis,</w:t>
            </w:r>
            <w:r>
              <w:t xml:space="preserve"> įrašytoms į Lietuvos Respublikos sveikatos apsaugos ministro įsakymu patvirtintus Sunkių ligų sąrašą, skiriant tikslinę pašalpą, skirti didesnį bazinės išmokos dydį tiems asmenims, kuriems nėra nustatytas individualios pagalbos teikimo poreikis.</w:t>
            </w:r>
          </w:p>
          <w:p w14:paraId="512338C4" w14:textId="77777777" w:rsidR="00A40DAA" w:rsidRDefault="00A40DAA">
            <w:pPr>
              <w:ind w:left="-142"/>
              <w:jc w:val="both"/>
            </w:pPr>
          </w:p>
          <w:p w14:paraId="512338C5" w14:textId="77777777" w:rsidR="00A40DAA" w:rsidRDefault="00A40DAA">
            <w:pPr>
              <w:jc w:val="both"/>
            </w:pPr>
          </w:p>
          <w:p w14:paraId="512338C6" w14:textId="77777777" w:rsidR="00A40DAA" w:rsidRDefault="00E86E7F">
            <w:pPr>
              <w:ind w:left="360"/>
              <w:jc w:val="both"/>
            </w:pPr>
            <w:r>
              <w:tab/>
            </w:r>
          </w:p>
          <w:p w14:paraId="512338C7" w14:textId="77777777" w:rsidR="00A40DAA" w:rsidRDefault="00A40DAA">
            <w:pPr>
              <w:jc w:val="both"/>
              <w:rPr>
                <w:color w:val="000000"/>
                <w:sz w:val="22"/>
                <w:szCs w:val="22"/>
              </w:rPr>
            </w:pPr>
          </w:p>
        </w:tc>
      </w:tr>
      <w:tr w:rsidR="00A40DAA" w14:paraId="512338CC" w14:textId="77777777">
        <w:trPr>
          <w:trHeight w:val="619"/>
        </w:trPr>
        <w:tc>
          <w:tcPr>
            <w:tcW w:w="516" w:type="dxa"/>
            <w:tcBorders>
              <w:top w:val="single" w:sz="4" w:space="0" w:color="000000"/>
              <w:left w:val="single" w:sz="4" w:space="0" w:color="000000"/>
              <w:bottom w:val="single" w:sz="4" w:space="0" w:color="000000"/>
              <w:right w:val="single" w:sz="4" w:space="0" w:color="000000"/>
            </w:tcBorders>
          </w:tcPr>
          <w:p w14:paraId="512338C9" w14:textId="77777777" w:rsidR="00A40DAA" w:rsidRDefault="00E86E7F">
            <w:pPr>
              <w:rPr>
                <w:color w:val="000000"/>
                <w:sz w:val="22"/>
                <w:szCs w:val="22"/>
              </w:rPr>
            </w:pPr>
            <w:r>
              <w:rPr>
                <w:color w:val="000000"/>
                <w:sz w:val="22"/>
                <w:szCs w:val="22"/>
              </w:rPr>
              <w:t>2.</w:t>
            </w:r>
          </w:p>
        </w:tc>
        <w:tc>
          <w:tcPr>
            <w:tcW w:w="2603" w:type="dxa"/>
            <w:tcBorders>
              <w:top w:val="single" w:sz="4" w:space="0" w:color="000000"/>
              <w:left w:val="single" w:sz="4" w:space="0" w:color="000000"/>
              <w:bottom w:val="single" w:sz="4" w:space="0" w:color="000000"/>
              <w:right w:val="single" w:sz="4" w:space="0" w:color="000000"/>
            </w:tcBorders>
          </w:tcPr>
          <w:p w14:paraId="512338CA" w14:textId="77777777" w:rsidR="00A40DAA" w:rsidRDefault="00E86E7F">
            <w:pPr>
              <w:rPr>
                <w:color w:val="000000"/>
                <w:sz w:val="22"/>
                <w:szCs w:val="22"/>
              </w:rPr>
            </w:pPr>
            <w:r>
              <w:rPr>
                <w:sz w:val="22"/>
                <w:szCs w:val="22"/>
              </w:rPr>
              <w:t>Išsamus faktinis ir teisinis pagrindas, siūlomos teisinio reguliavimo nuostatos</w:t>
            </w:r>
          </w:p>
        </w:tc>
        <w:tc>
          <w:tcPr>
            <w:tcW w:w="6407" w:type="dxa"/>
            <w:tcBorders>
              <w:top w:val="single" w:sz="4" w:space="0" w:color="000000"/>
              <w:left w:val="single" w:sz="4" w:space="0" w:color="000000"/>
              <w:bottom w:val="single" w:sz="4" w:space="0" w:color="000000"/>
              <w:right w:val="single" w:sz="4" w:space="0" w:color="000000"/>
            </w:tcBorders>
          </w:tcPr>
          <w:p w14:paraId="512338CB" w14:textId="77777777" w:rsidR="00A40DAA" w:rsidRDefault="00E86E7F">
            <w:pPr>
              <w:tabs>
                <w:tab w:val="left" w:pos="6096"/>
                <w:tab w:val="center" w:pos="7655"/>
                <w:tab w:val="right" w:pos="8306"/>
              </w:tabs>
              <w:jc w:val="both"/>
              <w:rPr>
                <w:bCs/>
                <w:color w:val="000000"/>
                <w:sz w:val="22"/>
                <w:szCs w:val="22"/>
              </w:rPr>
            </w:pPr>
            <w:r>
              <w:rPr>
                <w:bCs/>
                <w:color w:val="000000"/>
              </w:rPr>
              <w:t>Teisinio reguliavimo tikslas- įgyvendinti Lietuvos Respublikos piniginės socialinės paramos nepasiturintiems gyventojams įstatymo nuostatas.</w:t>
            </w:r>
          </w:p>
        </w:tc>
      </w:tr>
      <w:tr w:rsidR="00A40DAA" w14:paraId="512338D0" w14:textId="77777777">
        <w:trPr>
          <w:trHeight w:val="619"/>
        </w:trPr>
        <w:tc>
          <w:tcPr>
            <w:tcW w:w="516" w:type="dxa"/>
            <w:tcBorders>
              <w:top w:val="single" w:sz="4" w:space="0" w:color="000000"/>
              <w:left w:val="single" w:sz="4" w:space="0" w:color="000000"/>
              <w:bottom w:val="single" w:sz="4" w:space="0" w:color="000000"/>
              <w:right w:val="single" w:sz="4" w:space="0" w:color="000000"/>
            </w:tcBorders>
          </w:tcPr>
          <w:p w14:paraId="512338CD" w14:textId="77777777" w:rsidR="00A40DAA" w:rsidRDefault="00E86E7F">
            <w:pPr>
              <w:rPr>
                <w:color w:val="000000"/>
                <w:sz w:val="22"/>
                <w:szCs w:val="22"/>
              </w:rPr>
            </w:pPr>
            <w:r>
              <w:rPr>
                <w:color w:val="000000"/>
                <w:sz w:val="22"/>
                <w:szCs w:val="22"/>
              </w:rPr>
              <w:t>3.</w:t>
            </w:r>
          </w:p>
        </w:tc>
        <w:tc>
          <w:tcPr>
            <w:tcW w:w="2603" w:type="dxa"/>
            <w:tcBorders>
              <w:top w:val="single" w:sz="4" w:space="0" w:color="000000"/>
              <w:left w:val="single" w:sz="4" w:space="0" w:color="000000"/>
              <w:bottom w:val="single" w:sz="4" w:space="0" w:color="000000"/>
              <w:right w:val="single" w:sz="4" w:space="0" w:color="000000"/>
            </w:tcBorders>
          </w:tcPr>
          <w:p w14:paraId="512338CE" w14:textId="77777777" w:rsidR="00A40DAA" w:rsidRDefault="00E86E7F">
            <w:pPr>
              <w:rPr>
                <w:sz w:val="22"/>
                <w:szCs w:val="22"/>
              </w:rPr>
            </w:pPr>
            <w:r>
              <w:rPr>
                <w:sz w:val="22"/>
                <w:szCs w:val="22"/>
                <w:lang w:eastAsia="lt-LT"/>
              </w:rPr>
              <w:t>Numatomo teisinio reguliavimo poveikio vertinimo rezultatai, jei sprendimu numatoma reglamentuoti iki tol nereglamentuotus santykius arba iš esmės keičiamas teisinis reguliavimas</w:t>
            </w:r>
          </w:p>
        </w:tc>
        <w:tc>
          <w:tcPr>
            <w:tcW w:w="6407" w:type="dxa"/>
            <w:tcBorders>
              <w:top w:val="single" w:sz="4" w:space="0" w:color="000000"/>
              <w:left w:val="single" w:sz="4" w:space="0" w:color="000000"/>
              <w:bottom w:val="single" w:sz="4" w:space="0" w:color="000000"/>
              <w:right w:val="single" w:sz="4" w:space="0" w:color="000000"/>
            </w:tcBorders>
          </w:tcPr>
          <w:p w14:paraId="512338CF" w14:textId="77777777" w:rsidR="00A40DAA" w:rsidRDefault="00E86E7F">
            <w:pPr>
              <w:pStyle w:val="Sraopastraipa"/>
              <w:ind w:left="0"/>
              <w:jc w:val="both"/>
              <w:rPr>
                <w:rFonts w:ascii="Times New Roman" w:hAnsi="Times New Roman"/>
                <w:sz w:val="24"/>
                <w:szCs w:val="24"/>
              </w:rPr>
            </w:pPr>
            <w:r>
              <w:rPr>
                <w:rFonts w:ascii="Times New Roman" w:hAnsi="Times New Roman"/>
                <w:sz w:val="24"/>
                <w:szCs w:val="24"/>
              </w:rPr>
              <w:t xml:space="preserve">Šalčininkų rajono savivaldybės tarybos sprendimo „Dėl piniginės socialinės paramos nepasiturintiems Šalčininkų rajono savivaldybės gyventojams teikimo tvarkos aprašo patvirtinimo“ projektas parengtas vadovaujantis Lietuvos Respublikos vietos savivaldos įstatymo 15 straipsnio 2 dalies 30 punktu bei Lietuvos Respublikos piniginės socialinės paramos nepasiturintiems gyventojams įstatymo 4 straipsnio 2 dalimi.  </w:t>
            </w:r>
            <w:r>
              <w:rPr>
                <w:rFonts w:ascii="Times New Roman" w:hAnsi="Times New Roman"/>
                <w:bCs/>
                <w:color w:val="000000"/>
                <w:sz w:val="24"/>
                <w:szCs w:val="24"/>
              </w:rPr>
              <w:t>Numatomo teisinio reguliavimo neigiamų pasekmių nėra.</w:t>
            </w:r>
          </w:p>
        </w:tc>
      </w:tr>
      <w:tr w:rsidR="00A40DAA" w14:paraId="512338D4" w14:textId="77777777">
        <w:tc>
          <w:tcPr>
            <w:tcW w:w="516" w:type="dxa"/>
            <w:tcBorders>
              <w:top w:val="single" w:sz="4" w:space="0" w:color="000000"/>
              <w:left w:val="single" w:sz="4" w:space="0" w:color="000000"/>
              <w:bottom w:val="single" w:sz="4" w:space="0" w:color="000000"/>
              <w:right w:val="single" w:sz="4" w:space="0" w:color="000000"/>
            </w:tcBorders>
          </w:tcPr>
          <w:p w14:paraId="512338D1" w14:textId="77777777" w:rsidR="00A40DAA" w:rsidRDefault="00E86E7F">
            <w:pPr>
              <w:rPr>
                <w:color w:val="000000"/>
                <w:sz w:val="22"/>
                <w:szCs w:val="22"/>
              </w:rPr>
            </w:pPr>
            <w:r>
              <w:rPr>
                <w:color w:val="000000"/>
                <w:sz w:val="22"/>
                <w:szCs w:val="22"/>
              </w:rPr>
              <w:t>4.</w:t>
            </w:r>
          </w:p>
        </w:tc>
        <w:tc>
          <w:tcPr>
            <w:tcW w:w="2603" w:type="dxa"/>
            <w:tcBorders>
              <w:top w:val="single" w:sz="4" w:space="0" w:color="000000"/>
              <w:left w:val="single" w:sz="4" w:space="0" w:color="000000"/>
              <w:bottom w:val="single" w:sz="4" w:space="0" w:color="000000"/>
              <w:right w:val="single" w:sz="4" w:space="0" w:color="000000"/>
            </w:tcBorders>
          </w:tcPr>
          <w:p w14:paraId="512338D2" w14:textId="77777777" w:rsidR="00A40DAA" w:rsidRDefault="00E86E7F">
            <w:pPr>
              <w:rPr>
                <w:color w:val="000000"/>
                <w:sz w:val="22"/>
                <w:szCs w:val="22"/>
              </w:rPr>
            </w:pPr>
            <w:r>
              <w:rPr>
                <w:sz w:val="22"/>
                <w:szCs w:val="22"/>
              </w:rPr>
              <w:t>Lėšų poreikis ir šaltiniai</w:t>
            </w:r>
          </w:p>
        </w:tc>
        <w:tc>
          <w:tcPr>
            <w:tcW w:w="6407" w:type="dxa"/>
            <w:tcBorders>
              <w:top w:val="single" w:sz="4" w:space="0" w:color="000000"/>
              <w:left w:val="single" w:sz="4" w:space="0" w:color="000000"/>
              <w:bottom w:val="single" w:sz="4" w:space="0" w:color="000000"/>
              <w:right w:val="single" w:sz="4" w:space="0" w:color="000000"/>
            </w:tcBorders>
          </w:tcPr>
          <w:p w14:paraId="512338D3" w14:textId="77777777" w:rsidR="00A40DAA" w:rsidRDefault="00E86E7F">
            <w:pPr>
              <w:tabs>
                <w:tab w:val="left" w:pos="720"/>
              </w:tabs>
              <w:jc w:val="both"/>
              <w:rPr>
                <w:bCs/>
                <w:color w:val="000000"/>
              </w:rPr>
            </w:pPr>
            <w:r>
              <w:t>Sprendimui įgyvendinti iki 2026 metų pabaigos savivaldybės biudžete yra numatyta 1943 tūkst. Eurų.</w:t>
            </w:r>
          </w:p>
        </w:tc>
      </w:tr>
      <w:tr w:rsidR="00A40DAA" w14:paraId="512338D8" w14:textId="77777777">
        <w:tc>
          <w:tcPr>
            <w:tcW w:w="516" w:type="dxa"/>
            <w:tcBorders>
              <w:top w:val="single" w:sz="4" w:space="0" w:color="000000"/>
              <w:left w:val="single" w:sz="4" w:space="0" w:color="000000"/>
              <w:bottom w:val="single" w:sz="4" w:space="0" w:color="000000"/>
              <w:right w:val="single" w:sz="4" w:space="0" w:color="000000"/>
            </w:tcBorders>
          </w:tcPr>
          <w:p w14:paraId="512338D5" w14:textId="77777777" w:rsidR="00A40DAA" w:rsidRDefault="00E86E7F">
            <w:pPr>
              <w:rPr>
                <w:color w:val="000000"/>
                <w:sz w:val="22"/>
                <w:szCs w:val="22"/>
              </w:rPr>
            </w:pPr>
            <w:r>
              <w:rPr>
                <w:color w:val="000000"/>
                <w:sz w:val="22"/>
                <w:szCs w:val="22"/>
              </w:rPr>
              <w:t>5.</w:t>
            </w:r>
          </w:p>
        </w:tc>
        <w:tc>
          <w:tcPr>
            <w:tcW w:w="2603" w:type="dxa"/>
            <w:tcBorders>
              <w:top w:val="single" w:sz="4" w:space="0" w:color="000000"/>
              <w:left w:val="single" w:sz="4" w:space="0" w:color="000000"/>
              <w:bottom w:val="single" w:sz="4" w:space="0" w:color="000000"/>
              <w:right w:val="single" w:sz="4" w:space="0" w:color="000000"/>
            </w:tcBorders>
          </w:tcPr>
          <w:p w14:paraId="512338D6" w14:textId="77777777" w:rsidR="00A40DAA" w:rsidRDefault="00E86E7F">
            <w:pPr>
              <w:rPr>
                <w:color w:val="000000"/>
                <w:sz w:val="22"/>
                <w:szCs w:val="22"/>
              </w:rPr>
            </w:pPr>
            <w:r>
              <w:rPr>
                <w:sz w:val="22"/>
                <w:szCs w:val="22"/>
                <w:lang w:eastAsia="lt-LT"/>
              </w:rPr>
              <w:t>Ar projektas vertintinas antikorupciniu požiūriu (jei taip, pridedama antikorupcinio vertinimo išvada)</w:t>
            </w:r>
          </w:p>
        </w:tc>
        <w:tc>
          <w:tcPr>
            <w:tcW w:w="6407" w:type="dxa"/>
            <w:tcBorders>
              <w:top w:val="single" w:sz="4" w:space="0" w:color="000000"/>
              <w:left w:val="single" w:sz="4" w:space="0" w:color="000000"/>
              <w:bottom w:val="single" w:sz="4" w:space="0" w:color="000000"/>
              <w:right w:val="single" w:sz="4" w:space="0" w:color="000000"/>
            </w:tcBorders>
          </w:tcPr>
          <w:p w14:paraId="512338D7" w14:textId="77777777" w:rsidR="00A40DAA" w:rsidRDefault="00E86E7F">
            <w:pPr>
              <w:tabs>
                <w:tab w:val="left" w:pos="720"/>
                <w:tab w:val="left" w:pos="1067"/>
              </w:tabs>
              <w:jc w:val="both"/>
              <w:rPr>
                <w:color w:val="000000"/>
              </w:rPr>
            </w:pPr>
            <w:r>
              <w:rPr>
                <w:color w:val="000000"/>
              </w:rPr>
              <w:t>Taip</w:t>
            </w:r>
          </w:p>
        </w:tc>
      </w:tr>
      <w:tr w:rsidR="00A40DAA" w14:paraId="512338DC" w14:textId="77777777">
        <w:tc>
          <w:tcPr>
            <w:tcW w:w="516" w:type="dxa"/>
            <w:tcBorders>
              <w:top w:val="single" w:sz="4" w:space="0" w:color="000000"/>
              <w:left w:val="single" w:sz="4" w:space="0" w:color="000000"/>
              <w:bottom w:val="single" w:sz="4" w:space="0" w:color="000000"/>
              <w:right w:val="single" w:sz="4" w:space="0" w:color="000000"/>
            </w:tcBorders>
          </w:tcPr>
          <w:p w14:paraId="512338D9" w14:textId="77777777" w:rsidR="00A40DAA" w:rsidRDefault="00E86E7F">
            <w:pPr>
              <w:rPr>
                <w:color w:val="000000"/>
                <w:sz w:val="22"/>
                <w:szCs w:val="22"/>
              </w:rPr>
            </w:pPr>
            <w:r>
              <w:rPr>
                <w:color w:val="000000"/>
                <w:sz w:val="22"/>
                <w:szCs w:val="22"/>
              </w:rPr>
              <w:lastRenderedPageBreak/>
              <w:t>6.</w:t>
            </w:r>
          </w:p>
        </w:tc>
        <w:tc>
          <w:tcPr>
            <w:tcW w:w="2603" w:type="dxa"/>
            <w:tcBorders>
              <w:top w:val="single" w:sz="4" w:space="0" w:color="000000"/>
              <w:left w:val="single" w:sz="4" w:space="0" w:color="000000"/>
              <w:bottom w:val="single" w:sz="4" w:space="0" w:color="000000"/>
              <w:right w:val="single" w:sz="4" w:space="0" w:color="000000"/>
            </w:tcBorders>
          </w:tcPr>
          <w:p w14:paraId="512338DA" w14:textId="77777777" w:rsidR="00A40DAA" w:rsidRDefault="00E86E7F">
            <w:pPr>
              <w:rPr>
                <w:color w:val="000000"/>
                <w:sz w:val="22"/>
                <w:szCs w:val="22"/>
              </w:rPr>
            </w:pPr>
            <w:r>
              <w:rPr>
                <w:sz w:val="22"/>
                <w:szCs w:val="22"/>
              </w:rPr>
              <w:t>Kiti sprendimui priimti reikalingi pagrindimai, skaičiavimai ar paaiškinimai, ir sprendimo projekto lyginamasis variantas, jeigu teikiamas sprendimo pakeitimo projektas</w:t>
            </w:r>
          </w:p>
        </w:tc>
        <w:tc>
          <w:tcPr>
            <w:tcW w:w="6407" w:type="dxa"/>
            <w:tcBorders>
              <w:top w:val="single" w:sz="4" w:space="0" w:color="000000"/>
              <w:left w:val="single" w:sz="4" w:space="0" w:color="000000"/>
              <w:bottom w:val="single" w:sz="4" w:space="0" w:color="000000"/>
              <w:right w:val="single" w:sz="4" w:space="0" w:color="000000"/>
            </w:tcBorders>
          </w:tcPr>
          <w:p w14:paraId="512338DB" w14:textId="77777777" w:rsidR="00A40DAA" w:rsidRDefault="00E86E7F">
            <w:pPr>
              <w:jc w:val="both"/>
              <w:rPr>
                <w:color w:val="000000"/>
              </w:rPr>
            </w:pPr>
            <w:r>
              <w:rPr>
                <w:color w:val="000000"/>
              </w:rPr>
              <w:t>Kiti pagrindimai ir paaiškinimai nėra reikalingi.</w:t>
            </w:r>
          </w:p>
        </w:tc>
      </w:tr>
    </w:tbl>
    <w:p w14:paraId="512338DD" w14:textId="77777777" w:rsidR="00A40DAA" w:rsidRDefault="00A40DAA"/>
    <w:p w14:paraId="512338DE" w14:textId="77777777" w:rsidR="00A40DAA" w:rsidRDefault="00A40DAA">
      <w:pPr>
        <w:overflowPunct w:val="0"/>
        <w:autoSpaceDE w:val="0"/>
        <w:jc w:val="both"/>
        <w:rPr>
          <w:sz w:val="22"/>
          <w:szCs w:val="22"/>
        </w:rPr>
      </w:pPr>
    </w:p>
    <w:p w14:paraId="512338DF" w14:textId="77777777" w:rsidR="00A40DAA" w:rsidRDefault="00A40DAA">
      <w:pPr>
        <w:overflowPunct w:val="0"/>
        <w:autoSpaceDE w:val="0"/>
        <w:jc w:val="both"/>
        <w:rPr>
          <w:sz w:val="22"/>
          <w:szCs w:val="22"/>
        </w:rPr>
      </w:pPr>
    </w:p>
    <w:p w14:paraId="512338E0" w14:textId="77777777" w:rsidR="00A40DAA" w:rsidRDefault="00A40DAA">
      <w:pPr>
        <w:overflowPunct w:val="0"/>
        <w:autoSpaceDE w:val="0"/>
        <w:jc w:val="both"/>
        <w:rPr>
          <w:sz w:val="22"/>
          <w:szCs w:val="22"/>
        </w:rPr>
      </w:pPr>
    </w:p>
    <w:p w14:paraId="512338E1" w14:textId="77777777" w:rsidR="00A40DAA" w:rsidRDefault="00E86E7F">
      <w:pPr>
        <w:overflowPunct w:val="0"/>
        <w:autoSpaceDE w:val="0"/>
        <w:jc w:val="both"/>
      </w:pPr>
      <w:r>
        <w:rPr>
          <w:sz w:val="22"/>
          <w:szCs w:val="22"/>
        </w:rPr>
        <w:t>Galina Rogoža, Socialinės paramos ir sveikatos apsaugos  skyrius, tel.: (0380) 30220, el. paštas: galina.rogoza@salcininkai.lt</w:t>
      </w:r>
    </w:p>
    <w:sectPr w:rsidR="00A40DAA">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41FA7"/>
    <w:multiLevelType w:val="multilevel"/>
    <w:tmpl w:val="1F1E2FD6"/>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00258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DAA"/>
    <w:rsid w:val="00524CEB"/>
    <w:rsid w:val="00A40DAA"/>
    <w:rsid w:val="00DB2135"/>
    <w:rsid w:val="00E86E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512338BF"/>
  <w15:docId w15:val="{A387C86D-76F3-4E7B-9CA7-F99528C8C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bidi="ar-SA"/>
    </w:rPr>
  </w:style>
  <w:style w:type="paragraph" w:styleId="Antrat1">
    <w:name w:val="heading 1"/>
    <w:basedOn w:val="prastasis"/>
    <w:next w:val="prastasis"/>
    <w:uiPriority w:val="9"/>
    <w:qFormat/>
    <w:pPr>
      <w:keepNext/>
      <w:numPr>
        <w:numId w:val="1"/>
      </w:numPr>
      <w:outlineLvl w:val="0"/>
    </w:pPr>
  </w:style>
  <w:style w:type="paragraph" w:styleId="Antrat3">
    <w:name w:val="heading 3"/>
    <w:basedOn w:val="prastasis"/>
    <w:next w:val="prastasis"/>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Antrat5">
    <w:name w:val="heading 5"/>
    <w:basedOn w:val="prastasis"/>
    <w:next w:val="prastasis"/>
    <w:uiPriority w:val="9"/>
    <w:semiHidden/>
    <w:unhideWhenUsed/>
    <w:qFormat/>
    <w:pPr>
      <w:numPr>
        <w:ilvl w:val="4"/>
        <w:numId w:val="1"/>
      </w:num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sz w:val="24"/>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b/>
    </w:rPr>
  </w:style>
  <w:style w:type="character" w:customStyle="1" w:styleId="WW8Num21z0">
    <w:name w:val="WW8Num21z0"/>
    <w:qFormat/>
  </w:style>
  <w:style w:type="character" w:customStyle="1" w:styleId="WW8Num23z0">
    <w:name w:val="WW8Num23z0"/>
    <w:qFormat/>
  </w:style>
  <w:style w:type="character" w:customStyle="1" w:styleId="WW8Num23z1">
    <w:name w:val="WW8Num23z1"/>
    <w:qFormat/>
    <w:rPr>
      <w:rFonts w:ascii="Times New Roman" w:hAnsi="Times New Roman" w:cs="Times New Roman"/>
      <w:sz w:val="24"/>
      <w:szCs w:val="24"/>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rPr>
      <w:b w:val="0"/>
      <w:bCs w:val="0"/>
      <w:i w:val="0"/>
      <w:iCs w:val="0"/>
    </w:rPr>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i w:val="0"/>
      <w:iCs w:val="0"/>
    </w:rPr>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i w:val="0"/>
      <w:iCs w:val="0"/>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Antrat1Diagrama">
    <w:name w:val="Antraštė 1 Diagrama"/>
    <w:qFormat/>
    <w:rPr>
      <w:rFonts w:ascii="Cambria" w:hAnsi="Cambria" w:cs="Cambria"/>
      <w:b/>
      <w:bCs/>
      <w:kern w:val="2"/>
      <w:sz w:val="32"/>
      <w:szCs w:val="32"/>
      <w:lang w:val="en-US" w:eastAsia="en-US"/>
    </w:rPr>
  </w:style>
  <w:style w:type="character" w:customStyle="1" w:styleId="Antrat3Diagrama">
    <w:name w:val="Antraštė 3 Diagrama"/>
    <w:qFormat/>
    <w:rPr>
      <w:rFonts w:ascii="Cambria" w:hAnsi="Cambria" w:cs="Cambria"/>
      <w:b/>
      <w:bCs/>
      <w:sz w:val="26"/>
      <w:szCs w:val="26"/>
      <w:lang w:val="en-US" w:eastAsia="en-US"/>
    </w:rPr>
  </w:style>
  <w:style w:type="character" w:customStyle="1" w:styleId="Antrat5Diagrama">
    <w:name w:val="Antraštė 5 Diagrama"/>
    <w:qFormat/>
    <w:rPr>
      <w:rFonts w:ascii="Calibri" w:hAnsi="Calibri" w:cs="Calibri"/>
      <w:b/>
      <w:bCs/>
      <w:i/>
      <w:iCs/>
      <w:sz w:val="26"/>
      <w:szCs w:val="26"/>
      <w:lang w:val="en-US" w:eastAsia="en-US"/>
    </w:rPr>
  </w:style>
  <w:style w:type="character" w:customStyle="1" w:styleId="PavadinimasDiagrama">
    <w:name w:val="Pavadinimas Diagrama"/>
    <w:qFormat/>
    <w:rPr>
      <w:rFonts w:ascii="Cambria" w:hAnsi="Cambria" w:cs="Cambria"/>
      <w:b/>
      <w:bCs/>
      <w:kern w:val="2"/>
      <w:sz w:val="32"/>
      <w:szCs w:val="32"/>
      <w:lang w:val="en-US" w:eastAsia="en-US"/>
    </w:rPr>
  </w:style>
  <w:style w:type="character" w:customStyle="1" w:styleId="PagrindinistekstasDiagrama">
    <w:name w:val="Pagrindinis tekstas Diagrama"/>
    <w:qFormat/>
    <w:rPr>
      <w:sz w:val="24"/>
      <w:szCs w:val="24"/>
      <w:lang w:val="en-US" w:eastAsia="en-US"/>
    </w:rPr>
  </w:style>
  <w:style w:type="character" w:customStyle="1" w:styleId="Pagrindinistekstas2Diagrama">
    <w:name w:val="Pagrindinis tekstas 2 Diagrama"/>
    <w:qFormat/>
    <w:rPr>
      <w:sz w:val="24"/>
      <w:szCs w:val="24"/>
      <w:lang w:val="en-US" w:eastAsia="en-US"/>
    </w:rPr>
  </w:style>
  <w:style w:type="character" w:customStyle="1" w:styleId="Pagrindinistekstas3Diagrama">
    <w:name w:val="Pagrindinis tekstas 3 Diagrama"/>
    <w:qFormat/>
    <w:rPr>
      <w:sz w:val="16"/>
      <w:szCs w:val="16"/>
      <w:lang w:val="en-US" w:eastAsia="en-US"/>
    </w:rPr>
  </w:style>
  <w:style w:type="character" w:customStyle="1" w:styleId="PaantratDiagrama">
    <w:name w:val="Paantraštė Diagrama"/>
    <w:qFormat/>
    <w:rPr>
      <w:rFonts w:ascii="Cambria" w:hAnsi="Cambria" w:cs="Cambria"/>
      <w:sz w:val="24"/>
      <w:szCs w:val="24"/>
      <w:lang w:val="en-US" w:eastAsia="en-US"/>
    </w:rPr>
  </w:style>
  <w:style w:type="character" w:customStyle="1" w:styleId="DebesliotekstasDiagrama">
    <w:name w:val="Debesėlio tekstas Diagrama"/>
    <w:qFormat/>
    <w:rPr>
      <w:sz w:val="2"/>
      <w:szCs w:val="2"/>
      <w:lang w:val="en-US" w:eastAsia="en-US"/>
    </w:rPr>
  </w:style>
  <w:style w:type="character" w:customStyle="1" w:styleId="HTMLiankstoformatuotasDiagrama">
    <w:name w:val="HTML iš anksto formatuotas Diagrama"/>
    <w:qFormat/>
    <w:rPr>
      <w:rFonts w:ascii="Courier New" w:hAnsi="Courier New" w:cs="Courier New"/>
      <w:sz w:val="20"/>
      <w:szCs w:val="20"/>
      <w:lang w:val="en-US" w:eastAsia="en-US"/>
    </w:rPr>
  </w:style>
  <w:style w:type="character" w:customStyle="1" w:styleId="PagrindiniotekstotraukaDiagrama">
    <w:name w:val="Pagrindinio teksto įtrauka Diagrama"/>
    <w:qFormat/>
    <w:rPr>
      <w:sz w:val="24"/>
      <w:szCs w:val="24"/>
      <w:lang w:val="en-US" w:eastAsia="en-US"/>
    </w:rPr>
  </w:style>
  <w:style w:type="character" w:customStyle="1" w:styleId="PoratDiagrama">
    <w:name w:val="Poraštė Diagrama"/>
    <w:qFormat/>
    <w:rPr>
      <w:sz w:val="24"/>
      <w:szCs w:val="24"/>
      <w:lang w:val="en-US" w:eastAsia="en-US"/>
    </w:rPr>
  </w:style>
  <w:style w:type="character" w:styleId="Puslapionumeris">
    <w:name w:val="page number"/>
    <w:basedOn w:val="Numatytasispastraiposriftas"/>
  </w:style>
  <w:style w:type="character" w:customStyle="1" w:styleId="AntratsDiagrama">
    <w:name w:val="Antraštės Diagrama"/>
    <w:qFormat/>
    <w:rPr>
      <w:sz w:val="24"/>
      <w:szCs w:val="24"/>
      <w:lang w:val="en-US" w:eastAsia="en-US"/>
    </w:rPr>
  </w:style>
  <w:style w:type="character" w:styleId="Hipersaitas">
    <w:name w:val="Hyperlink"/>
    <w:rPr>
      <w:color w:val="000000"/>
      <w:u w:val="single"/>
    </w:rPr>
  </w:style>
  <w:style w:type="character" w:customStyle="1" w:styleId="Pagrindiniotekstotrauka2Diagrama">
    <w:name w:val="Pagrindinio teksto įtrauka 2 Diagrama"/>
    <w:qFormat/>
    <w:rPr>
      <w:sz w:val="24"/>
      <w:szCs w:val="24"/>
      <w:lang w:val="en-US" w:eastAsia="en-US"/>
    </w:rPr>
  </w:style>
  <w:style w:type="character" w:customStyle="1" w:styleId="SraopastraipaDiagrama">
    <w:name w:val="Sąrašo pastraipa Diagrama"/>
    <w:qFormat/>
    <w:rPr>
      <w:rFonts w:ascii="Calibri" w:eastAsia="Calibri" w:hAnsi="Calibri" w:cs="Times New Roman"/>
    </w:rPr>
  </w:style>
  <w:style w:type="paragraph" w:customStyle="1" w:styleId="Heading">
    <w:name w:val="Heading"/>
    <w:basedOn w:val="prastasis"/>
    <w:next w:val="Pagrindinistekstas"/>
    <w:qFormat/>
    <w:pPr>
      <w:jc w:val="center"/>
    </w:pPr>
    <w:rPr>
      <w:b/>
      <w:bCs/>
    </w:rPr>
  </w:style>
  <w:style w:type="paragraph" w:styleId="Pagrindinistekstas">
    <w:name w:val="Body Text"/>
    <w:basedOn w:val="prastasis"/>
    <w:pPr>
      <w:jc w:val="both"/>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Index">
    <w:name w:val="Index"/>
    <w:basedOn w:val="prastasis"/>
    <w:qFormat/>
    <w:pPr>
      <w:suppressLineNumbers/>
    </w:pPr>
    <w:rPr>
      <w:rFonts w:cs="Arial"/>
      <w:lang/>
    </w:rPr>
  </w:style>
  <w:style w:type="paragraph" w:styleId="Pagrindinistekstas2">
    <w:name w:val="Body Text 2"/>
    <w:basedOn w:val="prastasis"/>
    <w:qFormat/>
  </w:style>
  <w:style w:type="paragraph" w:styleId="Pagrindinistekstas3">
    <w:name w:val="Body Text 3"/>
    <w:basedOn w:val="prastasis"/>
    <w:qFormat/>
    <w:pPr>
      <w:jc w:val="center"/>
    </w:pPr>
    <w:rPr>
      <w:b/>
      <w:bCs/>
      <w:caps/>
    </w:rPr>
  </w:style>
  <w:style w:type="paragraph" w:styleId="Paantrat">
    <w:name w:val="Subtitle"/>
    <w:basedOn w:val="prastasis"/>
    <w:next w:val="Pagrindinistekstas"/>
    <w:uiPriority w:val="11"/>
    <w:qFormat/>
    <w:pPr>
      <w:jc w:val="center"/>
    </w:pPr>
    <w:rPr>
      <w:b/>
      <w:bCs/>
      <w:caps/>
    </w:rPr>
  </w:style>
  <w:style w:type="paragraph" w:styleId="Debesliotekstas">
    <w:name w:val="Balloon Text"/>
    <w:basedOn w:val="prastasis"/>
    <w:qFormat/>
    <w:rPr>
      <w:rFonts w:ascii="Tahoma" w:hAnsi="Tahoma" w:cs="Tahoma"/>
      <w:sz w:val="16"/>
      <w:szCs w:val="16"/>
    </w:rPr>
  </w:style>
  <w:style w:type="paragraph" w:styleId="HTMLiankstoformatuotas">
    <w:name w:val="HTML Preformatted"/>
    <w:basedOn w:val="prastasis"/>
    <w:qFormat/>
    <w:rPr>
      <w:rFonts w:ascii="Arial Unicode MS" w:eastAsia="Arial Unicode MS" w:hAnsi="Arial Unicode MS" w:cs="Arial Unicode MS"/>
      <w:sz w:val="20"/>
      <w:szCs w:val="20"/>
      <w:lang w:val="en-US"/>
    </w:rPr>
  </w:style>
  <w:style w:type="paragraph" w:customStyle="1" w:styleId="style2">
    <w:name w:val="style2"/>
    <w:basedOn w:val="prastasis"/>
    <w:qFormat/>
    <w:pPr>
      <w:spacing w:before="280" w:after="280"/>
    </w:pPr>
  </w:style>
  <w:style w:type="paragraph" w:styleId="Pagrindiniotekstotrauka">
    <w:name w:val="Body Text Indent"/>
    <w:basedOn w:val="prastasis"/>
    <w:pPr>
      <w:spacing w:after="120"/>
      <w:ind w:left="283"/>
    </w:pPr>
  </w:style>
  <w:style w:type="paragraph" w:customStyle="1" w:styleId="HeaderandFooter">
    <w:name w:val="Header and Footer"/>
    <w:basedOn w:val="prastasis"/>
    <w:qFormat/>
    <w:pPr>
      <w:suppressLineNumbers/>
      <w:tabs>
        <w:tab w:val="center" w:pos="4986"/>
        <w:tab w:val="right" w:pos="9972"/>
      </w:tabs>
    </w:pPr>
  </w:style>
  <w:style w:type="paragraph" w:styleId="Porat">
    <w:name w:val="footer"/>
    <w:basedOn w:val="prastasis"/>
    <w:rPr>
      <w:lang w:val="ru-RU"/>
    </w:rPr>
  </w:style>
  <w:style w:type="paragraph" w:styleId="Antrats">
    <w:name w:val="header"/>
    <w:basedOn w:val="prastasis"/>
  </w:style>
  <w:style w:type="paragraph" w:styleId="Pagrindiniotekstotrauka2">
    <w:name w:val="Body Text Indent 2"/>
    <w:basedOn w:val="prastasis"/>
    <w:qFormat/>
    <w:pPr>
      <w:spacing w:after="120" w:line="480" w:lineRule="auto"/>
      <w:ind w:left="283"/>
    </w:pPr>
  </w:style>
  <w:style w:type="paragraph" w:styleId="Sraopastraipa">
    <w:name w:val="List Paragraph"/>
    <w:basedOn w:val="prastasis"/>
    <w:qFormat/>
    <w:pPr>
      <w:spacing w:after="160" w:line="254" w:lineRule="auto"/>
      <w:ind w:left="720"/>
      <w:contextualSpacing/>
    </w:pPr>
    <w:rPr>
      <w:rFonts w:ascii="Calibri" w:eastAsia="Calibri" w:hAnsi="Calibri"/>
      <w:sz w:val="22"/>
      <w:szCs w:val="2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2066</Words>
  <Characters>1178</Characters>
  <Application>Microsoft Office Word</Application>
  <DocSecurity>4</DocSecurity>
  <Lines>9</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Sekretoriatas</dc:creator>
  <cp:lastModifiedBy>Jolanta Bušmovičienė</cp:lastModifiedBy>
  <cp:revision>2</cp:revision>
  <cp:lastPrinted>2025-09-09T08:45:00Z</cp:lastPrinted>
  <dcterms:created xsi:type="dcterms:W3CDTF">2026-09-23T07:17:00Z</dcterms:created>
  <dcterms:modified xsi:type="dcterms:W3CDTF">2026-09-23T07:17:00Z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
  </property>
  <property fmtid="{D5CDD505-2E9C-101B-9397-08002B2CF9AE}" pid="3" name="DLX:RegistrationNo">
    <vt:lpwstr/>
  </property>
  <property fmtid="{D5CDD505-2E9C-101B-9397-08002B2CF9AE}" pid="4" name="DLX:Title">
    <vt:lpwstr>Tarybos sprendimo projektas</vt:lpwstr>
  </property>
  <property fmtid="{D5CDD505-2E9C-101B-9397-08002B2CF9AE}" pid="5" name="DLX:abs_gov_DokPasirasancioAsmensPareigos:Title">
    <vt:lpwstr>Savivaldybės administracijos direktorius</vt:lpwstr>
  </property>
  <property fmtid="{D5CDD505-2E9C-101B-9397-08002B2CF9AE}" pid="6" name="DLX:abs_gov_DokumentaPasirasantisAsmuo:Title">
    <vt:lpwstr>Josif Rybak</vt:lpwstr>
  </property>
  <property fmtid="{D5CDD505-2E9C-101B-9397-08002B2CF9AE}" pid="7" name="DLX:abs_gov_DokumentoRengejas:DlxEmail">
    <vt:lpwstr>olga.goj@salcininkai.lt</vt:lpwstr>
  </property>
  <property fmtid="{D5CDD505-2E9C-101B-9397-08002B2CF9AE}" pid="8" name="DLX:abs_gov_DokumentoRengejas:Email">
    <vt:lpwstr>dlx@srsa.lt</vt:lpwstr>
  </property>
  <property fmtid="{D5CDD505-2E9C-101B-9397-08002B2CF9AE}" pid="9" name="DLX:abs_gov_DokumentoRengejas:Phone">
    <vt:lpwstr>8 (380) 20 207</vt:lpwstr>
  </property>
  <property fmtid="{D5CDD505-2E9C-101B-9397-08002B2CF9AE}" pid="10" name="DLX:abs_gov_DokumentoRengejas:Title">
    <vt:lpwstr>Olga Goj</vt:lpwstr>
  </property>
  <property fmtid="{D5CDD505-2E9C-101B-9397-08002B2CF9AE}" pid="11" name="DLX:abs_gov_DokumentoRengejoPadalinys:Title">
    <vt:lpwstr>Investicijų ir strateginio planavimo skyrius</vt:lpwstr>
  </property>
</Properties>
</file>