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C4C" w:rsidRDefault="00EC1C4C" w:rsidP="00EC1C4C">
      <w:pPr>
        <w:jc w:val="center"/>
        <w:rPr>
          <w:rFonts w:ascii="Times New Roman"/>
          <w:sz w:val="24"/>
          <w:szCs w:val="24"/>
        </w:rPr>
      </w:pPr>
      <w:r>
        <w:rPr>
          <w:noProof/>
          <w:lang w:val="pl-PL" w:eastAsia="pl-PL"/>
        </w:rPr>
        <w:drawing>
          <wp:inline distT="0" distB="0" distL="0" distR="0" wp14:anchorId="31E2F9FE" wp14:editId="6B9D5D3D">
            <wp:extent cx="514350" cy="6286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C4C" w:rsidRDefault="00EC1C4C" w:rsidP="00EC1C4C">
      <w:pPr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ŠALČININKŲ RAJONO SAVIVALDYBĖS</w:t>
      </w:r>
    </w:p>
    <w:p w:rsidR="00EC1C4C" w:rsidRDefault="00EC1C4C" w:rsidP="00EC1C4C">
      <w:pPr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NOMINACIJOS</w:t>
      </w:r>
    </w:p>
    <w:p w:rsidR="00EC1C4C" w:rsidRDefault="00EC1C4C" w:rsidP="00EC1C4C">
      <w:pPr>
        <w:jc w:val="center"/>
        <w:rPr>
          <w:rFonts w:ascii="Times New Roman"/>
          <w:b/>
          <w:sz w:val="24"/>
          <w:szCs w:val="24"/>
        </w:rPr>
      </w:pPr>
      <w:bookmarkStart w:id="0" w:name="_Hlk502149878"/>
      <w:r>
        <w:rPr>
          <w:rFonts w:ascii="Times New Roman"/>
          <w:b/>
          <w:sz w:val="24"/>
          <w:szCs w:val="24"/>
        </w:rPr>
        <w:t>„GERIAUSIA ŠALČININKŲ RAJONO SAVIVALDYBĖS ĮMONĖ“</w:t>
      </w:r>
    </w:p>
    <w:bookmarkEnd w:id="0"/>
    <w:p w:rsidR="00EC1C4C" w:rsidRDefault="00EC1C4C" w:rsidP="00EC1C4C">
      <w:pPr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NUOSTATAI</w:t>
      </w:r>
    </w:p>
    <w:p w:rsidR="00EC1C4C" w:rsidRDefault="00EC1C4C" w:rsidP="00EC1C4C">
      <w:pPr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pStyle w:val="Sraopastraipa"/>
        <w:spacing w:after="0" w:line="360" w:lineRule="auto"/>
        <w:ind w:left="-284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TIKSLAI</w:t>
      </w:r>
    </w:p>
    <w:p w:rsidR="00EC1C4C" w:rsidRDefault="00EC1C4C" w:rsidP="00EC1C4C">
      <w:pPr>
        <w:pStyle w:val="Sraopastraipa"/>
        <w:numPr>
          <w:ilvl w:val="0"/>
          <w:numId w:val="8"/>
        </w:numPr>
        <w:spacing w:after="0" w:line="360" w:lineRule="auto"/>
        <w:jc w:val="both"/>
        <w:rPr>
          <w:rFonts w:ascii="Times New Roman"/>
          <w:sz w:val="24"/>
          <w:szCs w:val="24"/>
        </w:rPr>
      </w:pPr>
      <w:r w:rsidRPr="00D62A79">
        <w:rPr>
          <w:rFonts w:ascii="Times New Roman"/>
          <w:sz w:val="24"/>
          <w:szCs w:val="24"/>
        </w:rPr>
        <w:t xml:space="preserve">Apdovanoti veikiančias įmonės už teigiamo Šalčininkų rajono įvaizdžio kūrimą verslo visuomenėje. </w:t>
      </w:r>
    </w:p>
    <w:p w:rsidR="00EC1C4C" w:rsidRDefault="00EC1C4C" w:rsidP="00EC1C4C">
      <w:pPr>
        <w:pStyle w:val="Sraopastraipa"/>
        <w:numPr>
          <w:ilvl w:val="0"/>
          <w:numId w:val="8"/>
        </w:numPr>
        <w:spacing w:after="0" w:line="360" w:lineRule="auto"/>
        <w:jc w:val="both"/>
        <w:rPr>
          <w:rFonts w:ascii="Times New Roman"/>
          <w:sz w:val="24"/>
          <w:szCs w:val="24"/>
        </w:rPr>
      </w:pPr>
      <w:r w:rsidRPr="00D62A79">
        <w:rPr>
          <w:rFonts w:ascii="Times New Roman"/>
          <w:sz w:val="24"/>
          <w:szCs w:val="24"/>
        </w:rPr>
        <w:t xml:space="preserve">Pagerbti Šalčininkų rajono  verslininkų iniciatyvumą ir aktyvumą </w:t>
      </w:r>
    </w:p>
    <w:p w:rsidR="00EC1C4C" w:rsidRPr="00D62A79" w:rsidRDefault="00EC1C4C" w:rsidP="00EC1C4C">
      <w:pPr>
        <w:pStyle w:val="Sraopastraipa"/>
        <w:numPr>
          <w:ilvl w:val="0"/>
          <w:numId w:val="8"/>
        </w:numPr>
        <w:spacing w:after="0" w:line="360" w:lineRule="auto"/>
        <w:jc w:val="both"/>
        <w:rPr>
          <w:rFonts w:ascii="Times New Roman"/>
          <w:sz w:val="24"/>
          <w:szCs w:val="24"/>
        </w:rPr>
      </w:pPr>
      <w:r w:rsidRPr="00D62A79">
        <w:rPr>
          <w:rFonts w:ascii="Times New Roman"/>
          <w:sz w:val="24"/>
          <w:szCs w:val="24"/>
        </w:rPr>
        <w:t>Paskatinti siekti geresnių rezultatų, tobulėti, didinti investicijas, kurios daro teigiamą socialinį ir ekonominį poveikį rajonui.</w:t>
      </w:r>
    </w:p>
    <w:p w:rsidR="00EC1C4C" w:rsidRDefault="00EC1C4C" w:rsidP="00EC1C4C">
      <w:pPr>
        <w:pStyle w:val="Sraopastraipa"/>
        <w:spacing w:after="0" w:line="360" w:lineRule="auto"/>
        <w:ind w:left="0" w:firstLine="284"/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pStyle w:val="Sraopastraipa"/>
        <w:spacing w:after="0" w:line="360" w:lineRule="auto"/>
        <w:ind w:left="284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NOMINACIJOS ORGANIZATORIUS</w:t>
      </w:r>
    </w:p>
    <w:p w:rsidR="00EC1C4C" w:rsidRDefault="00EC1C4C" w:rsidP="00EC1C4C">
      <w:pPr>
        <w:pStyle w:val="Sraopastraipa"/>
        <w:spacing w:after="0" w:line="360" w:lineRule="auto"/>
        <w:ind w:left="0" w:firstLine="284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Nominacijos </w:t>
      </w:r>
      <w:bookmarkStart w:id="1" w:name="_Hlk502150401"/>
      <w:r>
        <w:rPr>
          <w:rFonts w:ascii="Times New Roman"/>
          <w:sz w:val="24"/>
          <w:szCs w:val="24"/>
        </w:rPr>
        <w:t xml:space="preserve">„GERIAUSIA ŠALČININKŲ RAJONO SAVIVALDYBĖS ĮMONĖ“ </w:t>
      </w:r>
      <w:bookmarkEnd w:id="1"/>
      <w:r>
        <w:rPr>
          <w:rFonts w:ascii="Times New Roman"/>
          <w:sz w:val="24"/>
          <w:szCs w:val="24"/>
        </w:rPr>
        <w:t>organizatorius yra Šalčininkų rajono savivaldybės administracija.</w:t>
      </w:r>
    </w:p>
    <w:p w:rsidR="00EC1C4C" w:rsidRDefault="00EC1C4C" w:rsidP="00EC1C4C">
      <w:pPr>
        <w:pStyle w:val="Sraopastraipa"/>
        <w:spacing w:after="0" w:line="360" w:lineRule="auto"/>
        <w:ind w:left="0" w:firstLine="284"/>
        <w:jc w:val="center"/>
        <w:rPr>
          <w:rFonts w:ascii="Times New Roman"/>
          <w:sz w:val="24"/>
          <w:szCs w:val="24"/>
        </w:rPr>
      </w:pPr>
    </w:p>
    <w:p w:rsidR="00EC1C4C" w:rsidRDefault="00EC1C4C" w:rsidP="00EC1C4C">
      <w:pPr>
        <w:pStyle w:val="Sraopastraipa"/>
        <w:spacing w:after="0" w:line="360" w:lineRule="auto"/>
        <w:ind w:left="284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NOMINACIJOS SKELBIMAS</w:t>
      </w:r>
    </w:p>
    <w:p w:rsidR="00EC1C4C" w:rsidRDefault="00EC1C4C" w:rsidP="00EC1C4C">
      <w:pPr>
        <w:pStyle w:val="Sraopastraipa"/>
        <w:spacing w:after="0" w:line="360" w:lineRule="auto"/>
        <w:ind w:left="0" w:firstLine="284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Nominacijos paraiškos nuo paskelbimo datos priimamos iki sausio </w:t>
      </w:r>
      <w:r w:rsidR="004D3227">
        <w:rPr>
          <w:rFonts w:ascii="Times New Roman"/>
          <w:sz w:val="24"/>
          <w:szCs w:val="24"/>
        </w:rPr>
        <w:t>19</w:t>
      </w:r>
      <w:bookmarkStart w:id="2" w:name="_GoBack"/>
      <w:bookmarkEnd w:id="2"/>
      <w:r>
        <w:rPr>
          <w:rFonts w:ascii="Times New Roman"/>
          <w:sz w:val="24"/>
          <w:szCs w:val="24"/>
        </w:rPr>
        <w:t xml:space="preserve"> d. Šie nuostatai ir pretendavimo į nominaciją paraiškos forma talpinama Šalčininkų rajono savivaldybės administracijos tinklalapyje (</w:t>
      </w:r>
      <w:hyperlink r:id="rId6" w:history="1">
        <w:r>
          <w:rPr>
            <w:rStyle w:val="Hipersaitas"/>
            <w:rFonts w:ascii="Times New Roman"/>
            <w:sz w:val="24"/>
            <w:szCs w:val="24"/>
          </w:rPr>
          <w:t>www.salcininkai.lt</w:t>
        </w:r>
      </w:hyperlink>
      <w:r>
        <w:rPr>
          <w:rFonts w:ascii="Times New Roman"/>
          <w:sz w:val="24"/>
          <w:szCs w:val="24"/>
        </w:rPr>
        <w:t xml:space="preserve"> ir </w:t>
      </w:r>
      <w:hyperlink r:id="rId7" w:history="1">
        <w:r>
          <w:rPr>
            <w:rStyle w:val="Hipersaitas"/>
            <w:rFonts w:ascii="Times New Roman"/>
            <w:sz w:val="24"/>
            <w:szCs w:val="24"/>
          </w:rPr>
          <w:t>www.invest.salcininkai.lt</w:t>
        </w:r>
      </w:hyperlink>
      <w:r>
        <w:rPr>
          <w:rFonts w:ascii="Times New Roman"/>
          <w:sz w:val="24"/>
          <w:szCs w:val="24"/>
        </w:rPr>
        <w:t xml:space="preserve"> ) bei siunčiama el. paštu.</w:t>
      </w:r>
    </w:p>
    <w:p w:rsidR="00EC1C4C" w:rsidRDefault="00EC1C4C" w:rsidP="00EC1C4C">
      <w:pPr>
        <w:pStyle w:val="Sraopastraipa"/>
        <w:spacing w:after="0" w:line="360" w:lineRule="auto"/>
        <w:ind w:left="0" w:firstLine="284"/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pStyle w:val="Sraopastraipa"/>
        <w:spacing w:after="0" w:line="360" w:lineRule="auto"/>
        <w:ind w:left="284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PRETENDENTAI Į NOMINACIJĄ</w:t>
      </w:r>
    </w:p>
    <w:p w:rsidR="00EC1C4C" w:rsidRDefault="00EC1C4C" w:rsidP="00EC1C4C">
      <w:pPr>
        <w:pStyle w:val="Sraopastraipa"/>
        <w:spacing w:after="0" w:line="360" w:lineRule="auto"/>
        <w:ind w:left="0" w:firstLine="284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Pretenduoti į nominaciją gali visos Šalčininkų rajono savivaldybėje veikiančios įmonės.</w:t>
      </w:r>
    </w:p>
    <w:p w:rsidR="00EC1C4C" w:rsidRDefault="00EC1C4C" w:rsidP="00EC1C4C">
      <w:pPr>
        <w:pStyle w:val="Sraopastraipa"/>
        <w:spacing w:after="0" w:line="360" w:lineRule="auto"/>
        <w:ind w:left="0" w:firstLine="284"/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pStyle w:val="Sraopastraipa"/>
        <w:spacing w:after="0" w:line="360" w:lineRule="auto"/>
        <w:ind w:left="284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VERTINIMO KRITERIJAI</w:t>
      </w:r>
    </w:p>
    <w:p w:rsidR="00EC1C4C" w:rsidRDefault="00EC1C4C" w:rsidP="00EC1C4C">
      <w:pPr>
        <w:pStyle w:val="Sraopastraipa"/>
        <w:spacing w:after="0" w:line="360" w:lineRule="auto"/>
        <w:ind w:left="284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Pagrindiniai vertinimo kriterijai: </w:t>
      </w:r>
    </w:p>
    <w:p w:rsidR="00EC1C4C" w:rsidRPr="00393B50" w:rsidRDefault="00EC1C4C" w:rsidP="00EC1C4C">
      <w:pPr>
        <w:pStyle w:val="Sraopastraipa"/>
        <w:numPr>
          <w:ilvl w:val="0"/>
          <w:numId w:val="6"/>
        </w:numPr>
        <w:spacing w:after="0" w:line="360" w:lineRule="auto"/>
        <w:jc w:val="both"/>
        <w:rPr>
          <w:rFonts w:ascii="Times New Roman"/>
          <w:sz w:val="24"/>
          <w:szCs w:val="24"/>
        </w:rPr>
      </w:pPr>
      <w:proofErr w:type="spellStart"/>
      <w:r w:rsidRPr="00393B50">
        <w:rPr>
          <w:rFonts w:ascii="Times New Roman"/>
          <w:sz w:val="24"/>
          <w:szCs w:val="24"/>
          <w:lang w:val="en-GB"/>
        </w:rPr>
        <w:t>Vidutinis</w:t>
      </w:r>
      <w:proofErr w:type="spellEnd"/>
      <w:r w:rsidRPr="00393B50">
        <w:rPr>
          <w:rFonts w:ascii="Times New Roman"/>
          <w:sz w:val="24"/>
          <w:szCs w:val="24"/>
          <w:lang w:val="en-GB"/>
        </w:rPr>
        <w:t xml:space="preserve"> </w:t>
      </w:r>
      <w:proofErr w:type="spellStart"/>
      <w:r w:rsidRPr="00393B50">
        <w:rPr>
          <w:rFonts w:ascii="Times New Roman"/>
          <w:sz w:val="24"/>
          <w:szCs w:val="24"/>
          <w:lang w:val="en-GB"/>
        </w:rPr>
        <w:t>mėnesinis</w:t>
      </w:r>
      <w:proofErr w:type="spellEnd"/>
      <w:r w:rsidRPr="00393B50">
        <w:rPr>
          <w:rFonts w:ascii="Times New Roman"/>
          <w:sz w:val="24"/>
          <w:szCs w:val="24"/>
          <w:lang w:val="en-GB"/>
        </w:rPr>
        <w:t xml:space="preserve"> </w:t>
      </w:r>
      <w:proofErr w:type="spellStart"/>
      <w:r w:rsidRPr="00393B50">
        <w:rPr>
          <w:rFonts w:ascii="Times New Roman"/>
          <w:sz w:val="24"/>
          <w:szCs w:val="24"/>
          <w:lang w:val="en-GB"/>
        </w:rPr>
        <w:t>darbuotojų</w:t>
      </w:r>
      <w:proofErr w:type="spellEnd"/>
      <w:r w:rsidRPr="00393B50">
        <w:rPr>
          <w:rFonts w:ascii="Times New Roman"/>
          <w:sz w:val="24"/>
          <w:szCs w:val="24"/>
          <w:lang w:val="en-GB"/>
        </w:rPr>
        <w:t xml:space="preserve"> </w:t>
      </w:r>
      <w:proofErr w:type="spellStart"/>
      <w:r w:rsidRPr="00393B50">
        <w:rPr>
          <w:rFonts w:ascii="Times New Roman"/>
          <w:sz w:val="24"/>
          <w:szCs w:val="24"/>
          <w:lang w:val="en-GB"/>
        </w:rPr>
        <w:t>atlyginimas</w:t>
      </w:r>
      <w:proofErr w:type="spellEnd"/>
      <w:r w:rsidRPr="00393B50">
        <w:rPr>
          <w:rFonts w:ascii="Times New Roman"/>
          <w:sz w:val="24"/>
          <w:szCs w:val="24"/>
          <w:lang w:val="en-GB"/>
        </w:rPr>
        <w:t xml:space="preserve"> </w:t>
      </w:r>
      <w:r w:rsidRPr="00393B50">
        <w:rPr>
          <w:rFonts w:ascii="Times New Roman"/>
          <w:sz w:val="24"/>
          <w:szCs w:val="24"/>
        </w:rPr>
        <w:t>(tūkst. Eur);</w:t>
      </w:r>
    </w:p>
    <w:p w:rsidR="00EC1C4C" w:rsidRPr="00393B50" w:rsidRDefault="00EC1C4C" w:rsidP="00EC1C4C">
      <w:pPr>
        <w:pStyle w:val="Sraopastraipa"/>
        <w:numPr>
          <w:ilvl w:val="0"/>
          <w:numId w:val="6"/>
        </w:numPr>
        <w:spacing w:after="0" w:line="360" w:lineRule="auto"/>
        <w:jc w:val="both"/>
        <w:rPr>
          <w:rFonts w:ascii="Times New Roman"/>
          <w:sz w:val="24"/>
          <w:szCs w:val="24"/>
        </w:rPr>
      </w:pPr>
      <w:bookmarkStart w:id="3" w:name="_Hlk502649810"/>
      <w:r>
        <w:rPr>
          <w:rFonts w:ascii="Times New Roman"/>
          <w:sz w:val="24"/>
          <w:szCs w:val="24"/>
        </w:rPr>
        <w:t>Mokesčių dy</w:t>
      </w:r>
      <w:r w:rsidRPr="00393B50">
        <w:rPr>
          <w:rFonts w:ascii="Times New Roman"/>
          <w:sz w:val="24"/>
          <w:szCs w:val="24"/>
        </w:rPr>
        <w:t xml:space="preserve">dis į savivaldybės biudžetą </w:t>
      </w:r>
      <w:bookmarkEnd w:id="3"/>
      <w:r w:rsidRPr="00393B50">
        <w:rPr>
          <w:rFonts w:ascii="Times New Roman"/>
          <w:sz w:val="24"/>
          <w:szCs w:val="24"/>
        </w:rPr>
        <w:t>(tūkst. Eur);</w:t>
      </w:r>
    </w:p>
    <w:p w:rsidR="00EC1C4C" w:rsidRPr="00393B50" w:rsidRDefault="00EC1C4C" w:rsidP="00EC1C4C">
      <w:pPr>
        <w:pStyle w:val="Sraopastraipa"/>
        <w:numPr>
          <w:ilvl w:val="0"/>
          <w:numId w:val="6"/>
        </w:numPr>
        <w:spacing w:after="0" w:line="360" w:lineRule="auto"/>
        <w:jc w:val="both"/>
        <w:rPr>
          <w:rFonts w:ascii="Times New Roman"/>
          <w:sz w:val="24"/>
          <w:szCs w:val="24"/>
        </w:rPr>
      </w:pPr>
      <w:r w:rsidRPr="00393B50">
        <w:rPr>
          <w:rFonts w:ascii="Times New Roman"/>
          <w:sz w:val="24"/>
          <w:szCs w:val="24"/>
        </w:rPr>
        <w:t>Šalčininkų rajono savivaldybei teikiama parama (Eur);</w:t>
      </w:r>
    </w:p>
    <w:p w:rsidR="00EC1C4C" w:rsidRPr="00393B50" w:rsidRDefault="00EC1C4C" w:rsidP="00EC1C4C">
      <w:pPr>
        <w:pStyle w:val="Sraopastraipa"/>
        <w:numPr>
          <w:ilvl w:val="0"/>
          <w:numId w:val="6"/>
        </w:numPr>
        <w:spacing w:after="0" w:line="360" w:lineRule="auto"/>
        <w:jc w:val="both"/>
        <w:rPr>
          <w:rFonts w:ascii="Times New Roman"/>
          <w:sz w:val="24"/>
          <w:szCs w:val="24"/>
        </w:rPr>
      </w:pPr>
      <w:r w:rsidRPr="00393B50">
        <w:rPr>
          <w:rFonts w:ascii="Times New Roman"/>
          <w:sz w:val="24"/>
          <w:szCs w:val="24"/>
        </w:rPr>
        <w:t>Produkcijos ir paslaugų apimtys, tūkst. Eur už praeitus metus;</w:t>
      </w:r>
    </w:p>
    <w:p w:rsidR="00EC1C4C" w:rsidRPr="00393B50" w:rsidRDefault="00EC1C4C" w:rsidP="00EC1C4C">
      <w:pPr>
        <w:pStyle w:val="Sraopastraipa"/>
        <w:numPr>
          <w:ilvl w:val="0"/>
          <w:numId w:val="6"/>
        </w:numPr>
        <w:spacing w:after="0" w:line="360" w:lineRule="auto"/>
        <w:jc w:val="both"/>
        <w:rPr>
          <w:rFonts w:ascii="Times New Roman"/>
          <w:sz w:val="24"/>
          <w:szCs w:val="24"/>
        </w:rPr>
      </w:pPr>
      <w:r w:rsidRPr="00393B50">
        <w:rPr>
          <w:rFonts w:ascii="Times New Roman"/>
          <w:sz w:val="24"/>
          <w:szCs w:val="24"/>
        </w:rPr>
        <w:lastRenderedPageBreak/>
        <w:t>Bendra įmonės turto balansinė vertė,</w:t>
      </w:r>
      <w:r w:rsidRPr="00393B50">
        <w:rPr>
          <w:rFonts w:ascii="Times New Roman"/>
          <w:bCs/>
          <w:sz w:val="24"/>
          <w:szCs w:val="24"/>
        </w:rPr>
        <w:t xml:space="preserve"> tūkst. Eur</w:t>
      </w:r>
      <w:r w:rsidRPr="00393B50">
        <w:rPr>
          <w:rFonts w:ascii="Times New Roman"/>
          <w:sz w:val="24"/>
          <w:szCs w:val="24"/>
        </w:rPr>
        <w:t>;</w:t>
      </w:r>
    </w:p>
    <w:p w:rsidR="00EC1C4C" w:rsidRPr="00393B50" w:rsidRDefault="00EC1C4C" w:rsidP="00EC1C4C">
      <w:pPr>
        <w:pStyle w:val="Sraopastraipa"/>
        <w:numPr>
          <w:ilvl w:val="0"/>
          <w:numId w:val="6"/>
        </w:numPr>
        <w:spacing w:after="0" w:line="360" w:lineRule="auto"/>
        <w:jc w:val="both"/>
        <w:rPr>
          <w:rFonts w:ascii="Times New Roman"/>
          <w:sz w:val="24"/>
          <w:szCs w:val="24"/>
        </w:rPr>
      </w:pPr>
      <w:r w:rsidRPr="00393B50">
        <w:rPr>
          <w:rFonts w:ascii="Times New Roman"/>
          <w:sz w:val="24"/>
          <w:szCs w:val="24"/>
        </w:rPr>
        <w:t>Naujų darbo vietų steigimas (vnt.);</w:t>
      </w:r>
    </w:p>
    <w:p w:rsidR="00EC1C4C" w:rsidRPr="00393B50" w:rsidRDefault="00EC1C4C" w:rsidP="00EC1C4C">
      <w:pPr>
        <w:pStyle w:val="Sraopastraipa"/>
        <w:numPr>
          <w:ilvl w:val="0"/>
          <w:numId w:val="6"/>
        </w:numPr>
        <w:spacing w:after="0" w:line="360" w:lineRule="auto"/>
        <w:jc w:val="both"/>
        <w:rPr>
          <w:rFonts w:ascii="Times New Roman"/>
          <w:sz w:val="24"/>
          <w:szCs w:val="24"/>
        </w:rPr>
      </w:pPr>
      <w:r w:rsidRPr="00393B50">
        <w:rPr>
          <w:rFonts w:ascii="Times New Roman"/>
          <w:sz w:val="24"/>
          <w:szCs w:val="24"/>
        </w:rPr>
        <w:t>Investicijų į įmonės plėtrą suma (tūkst. Eur);</w:t>
      </w:r>
    </w:p>
    <w:p w:rsidR="00EC1C4C" w:rsidRDefault="00EC1C4C" w:rsidP="00EC1C4C">
      <w:pPr>
        <w:pStyle w:val="Sraopastraipa"/>
        <w:spacing w:after="0" w:line="360" w:lineRule="auto"/>
        <w:ind w:left="284"/>
        <w:jc w:val="both"/>
        <w:rPr>
          <w:rFonts w:ascii="Times New Roman"/>
          <w:sz w:val="24"/>
          <w:szCs w:val="24"/>
        </w:rPr>
      </w:pPr>
    </w:p>
    <w:p w:rsidR="00EC1C4C" w:rsidRPr="00393B50" w:rsidRDefault="00EC1C4C" w:rsidP="00EC1C4C">
      <w:pPr>
        <w:pStyle w:val="Sraopastraipa"/>
        <w:spacing w:after="0" w:line="360" w:lineRule="auto"/>
        <w:ind w:left="284"/>
        <w:jc w:val="both"/>
        <w:rPr>
          <w:rFonts w:ascii="Times New Roman"/>
          <w:b/>
          <w:sz w:val="24"/>
          <w:szCs w:val="24"/>
        </w:rPr>
      </w:pPr>
      <w:r w:rsidRPr="00393B50">
        <w:rPr>
          <w:rFonts w:ascii="Times New Roman"/>
          <w:b/>
          <w:sz w:val="24"/>
          <w:szCs w:val="24"/>
        </w:rPr>
        <w:t>Papildomi vertinimo kriterijai:</w:t>
      </w:r>
    </w:p>
    <w:p w:rsidR="00EC1C4C" w:rsidRPr="00393B50" w:rsidRDefault="00EC1C4C" w:rsidP="00EC1C4C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/>
          <w:sz w:val="24"/>
          <w:szCs w:val="24"/>
        </w:rPr>
      </w:pPr>
      <w:r w:rsidRPr="00393B50">
        <w:rPr>
          <w:rFonts w:ascii="Times New Roman"/>
          <w:sz w:val="24"/>
          <w:szCs w:val="24"/>
        </w:rPr>
        <w:t xml:space="preserve">3 metus nėra gavusi „GERIAUSIA ŠALČININKŲ RAJONO </w:t>
      </w:r>
      <w:r>
        <w:rPr>
          <w:rFonts w:ascii="Times New Roman"/>
          <w:sz w:val="24"/>
          <w:szCs w:val="24"/>
        </w:rPr>
        <w:t xml:space="preserve">SAVIVALDYBĖS </w:t>
      </w:r>
      <w:r w:rsidRPr="00393B50">
        <w:rPr>
          <w:rFonts w:ascii="Times New Roman"/>
          <w:sz w:val="24"/>
          <w:szCs w:val="24"/>
        </w:rPr>
        <w:t>ĮMONĖ“ apdovanojimo;</w:t>
      </w:r>
    </w:p>
    <w:p w:rsidR="00EC1C4C" w:rsidRPr="00393B50" w:rsidRDefault="00EC1C4C" w:rsidP="00EC1C4C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/>
          <w:sz w:val="24"/>
          <w:szCs w:val="24"/>
        </w:rPr>
      </w:pPr>
      <w:r w:rsidRPr="00393B50">
        <w:rPr>
          <w:rFonts w:ascii="Times New Roman"/>
          <w:sz w:val="24"/>
          <w:szCs w:val="24"/>
        </w:rPr>
        <w:t>Darbo sąlygų gerinimas;</w:t>
      </w:r>
    </w:p>
    <w:p w:rsidR="00EC1C4C" w:rsidRPr="00393B50" w:rsidRDefault="00EC1C4C" w:rsidP="00EC1C4C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/>
          <w:sz w:val="24"/>
          <w:szCs w:val="24"/>
        </w:rPr>
      </w:pPr>
      <w:r w:rsidRPr="00393B50">
        <w:rPr>
          <w:rFonts w:ascii="Times New Roman"/>
          <w:sz w:val="24"/>
          <w:szCs w:val="24"/>
        </w:rPr>
        <w:t>Įnašas į rajono socialinę ir ekono</w:t>
      </w:r>
      <w:r>
        <w:rPr>
          <w:rFonts w:ascii="Times New Roman"/>
          <w:sz w:val="24"/>
          <w:szCs w:val="24"/>
        </w:rPr>
        <w:t>minę aplinką (vertinami konkretūs padaryti darbai arba skirtos lėšos</w:t>
      </w:r>
      <w:r w:rsidRPr="00393B50">
        <w:rPr>
          <w:rFonts w:ascii="Times New Roman"/>
          <w:sz w:val="24"/>
          <w:szCs w:val="24"/>
        </w:rPr>
        <w:t>);</w:t>
      </w:r>
    </w:p>
    <w:p w:rsidR="00EC1C4C" w:rsidRPr="00393B50" w:rsidRDefault="00EC1C4C" w:rsidP="00EC1C4C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/>
          <w:sz w:val="24"/>
          <w:szCs w:val="24"/>
        </w:rPr>
      </w:pPr>
      <w:r w:rsidRPr="00393B50">
        <w:rPr>
          <w:rFonts w:ascii="Times New Roman"/>
          <w:sz w:val="24"/>
          <w:szCs w:val="24"/>
        </w:rPr>
        <w:t>Teigiamo Šalčininkų rajono įvaizdžio kūrimas;</w:t>
      </w:r>
    </w:p>
    <w:p w:rsidR="00EC1C4C" w:rsidRPr="00393B50" w:rsidRDefault="00EC1C4C" w:rsidP="00EC1C4C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/>
          <w:sz w:val="24"/>
          <w:szCs w:val="24"/>
        </w:rPr>
      </w:pPr>
      <w:r w:rsidRPr="00393B50">
        <w:rPr>
          <w:rFonts w:ascii="Times New Roman"/>
          <w:sz w:val="24"/>
          <w:szCs w:val="24"/>
        </w:rPr>
        <w:t>Darbo, paslaugų ir produkcijos kokybės rodikliai (kokybės standartų diegimas ir taikymas, produkcijos sertifikatai, kvalifikacijos atestatai ir kita)</w:t>
      </w:r>
      <w:r>
        <w:rPr>
          <w:rFonts w:ascii="Times New Roman"/>
          <w:sz w:val="24"/>
          <w:szCs w:val="24"/>
        </w:rPr>
        <w:t>.</w:t>
      </w:r>
      <w:r w:rsidRPr="00393B50">
        <w:rPr>
          <w:rFonts w:ascii="Times New Roman"/>
          <w:sz w:val="24"/>
          <w:szCs w:val="24"/>
        </w:rPr>
        <w:t xml:space="preserve"> </w:t>
      </w:r>
    </w:p>
    <w:p w:rsidR="00EC1C4C" w:rsidRDefault="00EC1C4C" w:rsidP="00EC1C4C">
      <w:pPr>
        <w:pStyle w:val="Sraopastraipa"/>
        <w:spacing w:after="0" w:line="360" w:lineRule="auto"/>
        <w:ind w:left="0" w:firstLine="284"/>
        <w:jc w:val="both"/>
        <w:rPr>
          <w:rFonts w:ascii="Times New Roman"/>
          <w:b/>
          <w:sz w:val="24"/>
          <w:szCs w:val="24"/>
        </w:rPr>
      </w:pPr>
    </w:p>
    <w:p w:rsidR="00EC1C4C" w:rsidRDefault="00EC1C4C" w:rsidP="00EC1C4C">
      <w:pPr>
        <w:pStyle w:val="Sraopastraipa"/>
        <w:spacing w:after="0" w:line="360" w:lineRule="auto"/>
        <w:ind w:left="284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PRETENDENTŲ Į NOMINACIJĄ VERTINIMAS</w:t>
      </w:r>
    </w:p>
    <w:p w:rsidR="00EC1C4C" w:rsidRDefault="00EC1C4C" w:rsidP="00EC1C4C">
      <w:pPr>
        <w:spacing w:after="0" w:line="360" w:lineRule="auto"/>
        <w:ind w:firstLine="284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Pretendentų į nominaciją rezultatus, pagal vertinimo metodiką apibendrina </w:t>
      </w:r>
      <w:r w:rsidRPr="00D62A79">
        <w:rPr>
          <w:rFonts w:ascii="Times New Roman"/>
          <w:sz w:val="24"/>
          <w:szCs w:val="24"/>
        </w:rPr>
        <w:t xml:space="preserve">Šalčininkų rajono savivaldybės mero </w:t>
      </w:r>
      <w:r>
        <w:rPr>
          <w:rFonts w:ascii="Times New Roman"/>
          <w:sz w:val="24"/>
          <w:szCs w:val="24"/>
        </w:rPr>
        <w:t xml:space="preserve">patvirtinta komisija. </w:t>
      </w:r>
    </w:p>
    <w:p w:rsidR="00EC1C4C" w:rsidRDefault="00EC1C4C" w:rsidP="00EC1C4C">
      <w:pPr>
        <w:spacing w:after="0" w:line="360" w:lineRule="auto"/>
        <w:ind w:firstLine="284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Sąlyginai pretendentai į prizą skirstomi pagal įmonės dydžio grupes:</w:t>
      </w:r>
    </w:p>
    <w:p w:rsidR="00EC1C4C" w:rsidRDefault="00EC1C4C" w:rsidP="00EC1C4C">
      <w:pPr>
        <w:spacing w:after="0" w:line="360" w:lineRule="auto"/>
        <w:ind w:firstLine="284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1. </w:t>
      </w:r>
      <w:bookmarkStart w:id="4" w:name="_Hlk502152469"/>
      <w:r>
        <w:rPr>
          <w:rFonts w:ascii="Times New Roman"/>
          <w:sz w:val="24"/>
          <w:szCs w:val="24"/>
        </w:rPr>
        <w:t xml:space="preserve">„GERIAUSIA ŠALČININKŲ RAJONO SAVIVALDYBĖS ĮMONĖ“, </w:t>
      </w:r>
      <w:bookmarkEnd w:id="4"/>
      <w:r>
        <w:rPr>
          <w:rFonts w:ascii="Times New Roman"/>
          <w:sz w:val="24"/>
          <w:szCs w:val="24"/>
        </w:rPr>
        <w:t xml:space="preserve">kurioje dirba mažiau kaip 50 darbuotojų, jos metinės pajamos neviršija </w:t>
      </w:r>
      <w:bookmarkStart w:id="5" w:name="_Hlk502152541"/>
      <w:r>
        <w:rPr>
          <w:rFonts w:ascii="Times New Roman"/>
          <w:sz w:val="24"/>
          <w:szCs w:val="24"/>
        </w:rPr>
        <w:t xml:space="preserve">7 mln. eurų </w:t>
      </w:r>
      <w:bookmarkEnd w:id="5"/>
      <w:r>
        <w:rPr>
          <w:rFonts w:ascii="Times New Roman"/>
          <w:sz w:val="24"/>
          <w:szCs w:val="24"/>
        </w:rPr>
        <w:t>arba bendra įmonės turto balansinė vertė ne didesnė kaip 5 mln. eurų;</w:t>
      </w:r>
    </w:p>
    <w:p w:rsidR="00EC1C4C" w:rsidRDefault="00EC1C4C" w:rsidP="00EC1C4C">
      <w:pPr>
        <w:spacing w:after="0" w:line="360" w:lineRule="auto"/>
        <w:ind w:firstLine="284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2. „GERIAUSIA ŠALČININKŲ RAJONO SAVIVALDYBĖS ĮMONĖ“, kurioje dirba daugiau kaip 50 darbuotojų, jos metinės pajamos viršija 7 mln. eurų arba bendra įmonės turto balansinė vertė didesnė kaip 5 mln. eurų;</w:t>
      </w:r>
    </w:p>
    <w:p w:rsidR="00EC1C4C" w:rsidRDefault="00EC1C4C" w:rsidP="00EC1C4C">
      <w:pPr>
        <w:spacing w:after="0" w:line="360" w:lineRule="auto"/>
        <w:ind w:firstLine="284"/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pStyle w:val="Sraopastraipa"/>
        <w:spacing w:after="0" w:line="360" w:lineRule="auto"/>
        <w:ind w:left="284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VERTINIMO METODIKA</w:t>
      </w:r>
    </w:p>
    <w:p w:rsidR="00EC1C4C" w:rsidRPr="00393B50" w:rsidRDefault="00EC1C4C" w:rsidP="00EC1C4C">
      <w:pPr>
        <w:spacing w:after="0" w:line="360" w:lineRule="auto"/>
        <w:ind w:firstLine="284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1. </w:t>
      </w:r>
      <w:r w:rsidRPr="00393B50">
        <w:rPr>
          <w:rFonts w:ascii="Times New Roman"/>
          <w:sz w:val="24"/>
          <w:szCs w:val="24"/>
        </w:rPr>
        <w:t>Kiekvienoje įmonės grupėje</w:t>
      </w:r>
      <w:r>
        <w:rPr>
          <w:rFonts w:ascii="Times New Roman"/>
          <w:sz w:val="24"/>
          <w:szCs w:val="24"/>
        </w:rPr>
        <w:t>,</w:t>
      </w:r>
      <w:r w:rsidRPr="00393B50">
        <w:rPr>
          <w:rFonts w:ascii="Times New Roman"/>
          <w:sz w:val="24"/>
          <w:szCs w:val="24"/>
        </w:rPr>
        <w:t xml:space="preserve"> pagal kiekvieną</w:t>
      </w:r>
      <w:r w:rsidR="006562E2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kriterijų yra nustatoma pretendento užimama</w:t>
      </w:r>
      <w:r w:rsidRPr="00393B50">
        <w:rPr>
          <w:rFonts w:ascii="Times New Roman"/>
          <w:sz w:val="24"/>
          <w:szCs w:val="24"/>
        </w:rPr>
        <w:t xml:space="preserve"> vieta. Paskutinę vietą pagal atskirą </w:t>
      </w:r>
      <w:r w:rsidR="006562E2">
        <w:rPr>
          <w:rFonts w:ascii="Times New Roman"/>
          <w:sz w:val="24"/>
          <w:szCs w:val="24"/>
        </w:rPr>
        <w:t>kriterijų</w:t>
      </w:r>
      <w:r w:rsidRPr="00393B50">
        <w:rPr>
          <w:rFonts w:ascii="Times New Roman"/>
          <w:sz w:val="24"/>
          <w:szCs w:val="24"/>
        </w:rPr>
        <w:t xml:space="preserve"> užėmęs pretendentas gauna vieną </w:t>
      </w:r>
      <w:r w:rsidR="006562E2">
        <w:rPr>
          <w:rFonts w:ascii="Times New Roman"/>
          <w:sz w:val="24"/>
          <w:szCs w:val="24"/>
        </w:rPr>
        <w:t>bal</w:t>
      </w:r>
      <w:r w:rsidRPr="00393B50">
        <w:rPr>
          <w:rFonts w:ascii="Times New Roman"/>
          <w:sz w:val="24"/>
          <w:szCs w:val="24"/>
        </w:rPr>
        <w:t xml:space="preserve">ą, priešpaskutinę vietą užėmęs dalyvis gauna du </w:t>
      </w:r>
      <w:r w:rsidR="006562E2">
        <w:rPr>
          <w:rFonts w:ascii="Times New Roman"/>
          <w:sz w:val="24"/>
          <w:szCs w:val="24"/>
        </w:rPr>
        <w:t>balus</w:t>
      </w:r>
      <w:r w:rsidRPr="00393B50">
        <w:rPr>
          <w:rFonts w:ascii="Times New Roman"/>
          <w:sz w:val="24"/>
          <w:szCs w:val="24"/>
        </w:rPr>
        <w:t xml:space="preserve"> ir t.t. Didžiausią </w:t>
      </w:r>
      <w:r>
        <w:rPr>
          <w:rFonts w:ascii="Times New Roman"/>
          <w:sz w:val="24"/>
          <w:szCs w:val="24"/>
        </w:rPr>
        <w:t>balų</w:t>
      </w:r>
      <w:r w:rsidRPr="00393B50">
        <w:rPr>
          <w:rFonts w:ascii="Times New Roman"/>
          <w:sz w:val="24"/>
          <w:szCs w:val="24"/>
        </w:rPr>
        <w:t xml:space="preserve"> skaičių, tai yra grupės dalyvių skaičių, gauna dalyvis turintys geriausią rezultatą</w:t>
      </w:r>
      <w:r w:rsidR="006562E2">
        <w:rPr>
          <w:rFonts w:ascii="Times New Roman"/>
          <w:sz w:val="24"/>
          <w:szCs w:val="24"/>
        </w:rPr>
        <w:t>.</w:t>
      </w:r>
      <w:r w:rsidRPr="00393B50">
        <w:rPr>
          <w:rFonts w:ascii="Times New Roman"/>
          <w:sz w:val="24"/>
          <w:szCs w:val="24"/>
        </w:rPr>
        <w:t xml:space="preserve"> </w:t>
      </w:r>
    </w:p>
    <w:p w:rsidR="00EC1C4C" w:rsidRPr="00393B50" w:rsidRDefault="00EC1C4C" w:rsidP="00EC1C4C">
      <w:pPr>
        <w:spacing w:after="0" w:line="360" w:lineRule="auto"/>
        <w:ind w:firstLine="284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2. </w:t>
      </w:r>
      <w:r w:rsidRPr="00393B50">
        <w:rPr>
          <w:rFonts w:ascii="Times New Roman"/>
          <w:sz w:val="24"/>
          <w:szCs w:val="24"/>
        </w:rPr>
        <w:t>Sudėjus visus</w:t>
      </w:r>
      <w:r>
        <w:rPr>
          <w:rFonts w:ascii="Times New Roman"/>
          <w:sz w:val="24"/>
          <w:szCs w:val="24"/>
        </w:rPr>
        <w:t xml:space="preserve"> balus</w:t>
      </w:r>
      <w:r w:rsidRPr="00393B50">
        <w:rPr>
          <w:rFonts w:ascii="Times New Roman"/>
          <w:sz w:val="24"/>
          <w:szCs w:val="24"/>
        </w:rPr>
        <w:t xml:space="preserve">, įmonių grupėje daugiausiai balų surinkę pretendentai yra siūlomi tvirtinti nominuotais. Jeigu įmonių grupėje dvi ar daugiau įmonių surinko vienodą balų skaičių, lemiamas žodis yra komisijos pirmininko. </w:t>
      </w:r>
    </w:p>
    <w:p w:rsidR="00EC1C4C" w:rsidRPr="00393B50" w:rsidRDefault="00EC1C4C" w:rsidP="00EC1C4C">
      <w:pPr>
        <w:spacing w:after="0" w:line="360" w:lineRule="auto"/>
        <w:ind w:left="284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 xml:space="preserve">3. </w:t>
      </w:r>
      <w:r w:rsidRPr="00BB52F9">
        <w:rPr>
          <w:rFonts w:ascii="Times New Roman"/>
          <w:sz w:val="24"/>
          <w:szCs w:val="24"/>
        </w:rPr>
        <w:t xml:space="preserve">Kiekvienas užpildytas papildomas kriterijus suteikia pretendentui </w:t>
      </w:r>
      <w:r w:rsidR="006562E2">
        <w:rPr>
          <w:rFonts w:ascii="Times New Roman"/>
          <w:sz w:val="24"/>
          <w:szCs w:val="24"/>
        </w:rPr>
        <w:t>5 papildomus balus prie bendros balu sumos</w:t>
      </w:r>
      <w:r>
        <w:rPr>
          <w:rFonts w:ascii="Times New Roman"/>
          <w:sz w:val="24"/>
          <w:szCs w:val="24"/>
        </w:rPr>
        <w:t>.</w:t>
      </w:r>
    </w:p>
    <w:p w:rsidR="00EC1C4C" w:rsidRDefault="00EC1C4C" w:rsidP="00EC1C4C">
      <w:pPr>
        <w:spacing w:after="0" w:line="360" w:lineRule="auto"/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spacing w:after="0" w:line="360" w:lineRule="auto"/>
        <w:jc w:val="both"/>
        <w:rPr>
          <w:rFonts w:ascii="Times New Roman"/>
          <w:sz w:val="24"/>
          <w:szCs w:val="24"/>
        </w:rPr>
      </w:pPr>
      <w:r w:rsidRPr="00393B50">
        <w:rPr>
          <w:rFonts w:ascii="Times New Roman"/>
          <w:sz w:val="24"/>
          <w:szCs w:val="24"/>
        </w:rPr>
        <w:t>Vertinimo komisijai paliekama teisė, esant reikalui, skirstyti įmones atskirose jų grupėse pagal ne tik pagal jų dydį, bet ir pagal veiklos pobūdį.</w:t>
      </w:r>
    </w:p>
    <w:p w:rsidR="00EC1C4C" w:rsidRDefault="00EC1C4C" w:rsidP="00EC1C4C">
      <w:pPr>
        <w:spacing w:after="0" w:line="360" w:lineRule="auto"/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spacing w:after="0" w:line="360" w:lineRule="auto"/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spacing w:after="0" w:line="360" w:lineRule="auto"/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spacing w:after="0" w:line="360" w:lineRule="auto"/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spacing w:after="0" w:line="360" w:lineRule="auto"/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spacing w:after="0" w:line="360" w:lineRule="auto"/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spacing w:after="0" w:line="360" w:lineRule="auto"/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spacing w:after="0" w:line="360" w:lineRule="auto"/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spacing w:after="0" w:line="360" w:lineRule="auto"/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spacing w:after="0" w:line="360" w:lineRule="auto"/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spacing w:after="0" w:line="360" w:lineRule="auto"/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spacing w:after="0" w:line="360" w:lineRule="auto"/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spacing w:after="0" w:line="360" w:lineRule="auto"/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spacing w:after="0" w:line="360" w:lineRule="auto"/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spacing w:after="0" w:line="360" w:lineRule="auto"/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spacing w:after="0" w:line="360" w:lineRule="auto"/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spacing w:after="0" w:line="360" w:lineRule="auto"/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spacing w:after="0" w:line="360" w:lineRule="auto"/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spacing w:after="0" w:line="360" w:lineRule="auto"/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spacing w:after="0" w:line="360" w:lineRule="auto"/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spacing w:after="0" w:line="360" w:lineRule="auto"/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spacing w:after="0" w:line="360" w:lineRule="auto"/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spacing w:after="0" w:line="360" w:lineRule="auto"/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spacing w:after="0" w:line="360" w:lineRule="auto"/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spacing w:after="0" w:line="360" w:lineRule="auto"/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spacing w:after="0" w:line="360" w:lineRule="auto"/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spacing w:after="0" w:line="360" w:lineRule="auto"/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spacing w:after="0" w:line="360" w:lineRule="auto"/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spacing w:after="0" w:line="360" w:lineRule="auto"/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spacing w:after="0" w:line="360" w:lineRule="auto"/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spacing w:after="0" w:line="360" w:lineRule="auto"/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spacing w:after="0" w:line="360" w:lineRule="auto"/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P A R A I Š K A</w:t>
      </w:r>
    </w:p>
    <w:p w:rsidR="00EC1C4C" w:rsidRDefault="00EC1C4C" w:rsidP="00EC1C4C">
      <w:pPr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ŠALČININKŲ RAJONO SAVIVALDYBĖS NOMINACIJAI</w:t>
      </w:r>
    </w:p>
    <w:p w:rsidR="00EC1C4C" w:rsidRDefault="00EC1C4C" w:rsidP="00EC1C4C">
      <w:pPr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„GERIAUSIA ŠALČININKŲ RAJONO SAVIVALDYBĖS ĮMONĖ – 2017“</w:t>
      </w:r>
    </w:p>
    <w:p w:rsidR="00EC1C4C" w:rsidRDefault="00EC1C4C" w:rsidP="00EC1C4C">
      <w:pPr>
        <w:numPr>
          <w:ilvl w:val="0"/>
          <w:numId w:val="2"/>
        </w:numPr>
        <w:jc w:val="both"/>
        <w:rPr>
          <w:rFonts w:ascii="Times New Roman"/>
          <w:bCs/>
          <w:sz w:val="24"/>
          <w:szCs w:val="24"/>
        </w:rPr>
      </w:pPr>
      <w:r>
        <w:rPr>
          <w:rFonts w:ascii="Times New Roman"/>
          <w:bCs/>
          <w:sz w:val="24"/>
          <w:szCs w:val="24"/>
        </w:rPr>
        <w:t>Įmonės (organizacijos) pavadinimas:...............................................................................................................................</w:t>
      </w:r>
    </w:p>
    <w:p w:rsidR="00EC1C4C" w:rsidRDefault="00EC1C4C" w:rsidP="00EC1C4C">
      <w:pPr>
        <w:numPr>
          <w:ilvl w:val="0"/>
          <w:numId w:val="2"/>
        </w:numPr>
        <w:jc w:val="both"/>
        <w:rPr>
          <w:rFonts w:ascii="Times New Roman"/>
          <w:bCs/>
          <w:sz w:val="24"/>
          <w:szCs w:val="24"/>
        </w:rPr>
      </w:pPr>
      <w:r>
        <w:rPr>
          <w:rFonts w:ascii="Times New Roman"/>
          <w:bCs/>
          <w:sz w:val="24"/>
          <w:szCs w:val="24"/>
        </w:rPr>
        <w:t>Adresas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1C4C" w:rsidRDefault="00EC1C4C" w:rsidP="00EC1C4C">
      <w:pPr>
        <w:numPr>
          <w:ilvl w:val="0"/>
          <w:numId w:val="2"/>
        </w:numPr>
        <w:jc w:val="both"/>
        <w:rPr>
          <w:rFonts w:ascii="Times New Roman"/>
          <w:bCs/>
          <w:sz w:val="24"/>
          <w:szCs w:val="24"/>
        </w:rPr>
      </w:pPr>
      <w:r>
        <w:rPr>
          <w:rFonts w:ascii="Times New Roman"/>
          <w:bCs/>
          <w:sz w:val="24"/>
          <w:szCs w:val="24"/>
        </w:rPr>
        <w:t>Įmonės kodas:....................................................</w:t>
      </w:r>
    </w:p>
    <w:p w:rsidR="00EC1C4C" w:rsidRDefault="00EC1C4C" w:rsidP="00EC1C4C">
      <w:pPr>
        <w:numPr>
          <w:ilvl w:val="0"/>
          <w:numId w:val="2"/>
        </w:numPr>
        <w:jc w:val="both"/>
        <w:rPr>
          <w:rFonts w:ascii="Times New Roman"/>
          <w:bCs/>
          <w:sz w:val="24"/>
          <w:szCs w:val="24"/>
        </w:rPr>
      </w:pPr>
      <w:r>
        <w:rPr>
          <w:rFonts w:ascii="Times New Roman"/>
          <w:bCs/>
          <w:sz w:val="24"/>
          <w:szCs w:val="24"/>
        </w:rPr>
        <w:t>Įmonės veikla:.............................................................................................................................</w:t>
      </w:r>
    </w:p>
    <w:p w:rsidR="00EC1C4C" w:rsidRDefault="00EC1C4C" w:rsidP="00EC1C4C">
      <w:pPr>
        <w:numPr>
          <w:ilvl w:val="0"/>
          <w:numId w:val="2"/>
        </w:numPr>
        <w:jc w:val="both"/>
        <w:rPr>
          <w:rFonts w:ascii="Times New Roman"/>
          <w:bCs/>
          <w:sz w:val="24"/>
          <w:szCs w:val="24"/>
        </w:rPr>
      </w:pPr>
      <w:r>
        <w:rPr>
          <w:rFonts w:ascii="Times New Roman"/>
          <w:bCs/>
          <w:sz w:val="24"/>
          <w:szCs w:val="24"/>
        </w:rPr>
        <w:t xml:space="preserve">Vadovo pareigos, vardas, pavardė, tel., </w:t>
      </w:r>
      <w:proofErr w:type="spellStart"/>
      <w:r>
        <w:rPr>
          <w:rFonts w:ascii="Times New Roman"/>
          <w:bCs/>
          <w:sz w:val="24"/>
          <w:szCs w:val="24"/>
        </w:rPr>
        <w:t>el.paštas</w:t>
      </w:r>
      <w:proofErr w:type="spellEnd"/>
      <w:r>
        <w:rPr>
          <w:rFonts w:ascii="Times New Roman"/>
          <w:bCs/>
          <w:sz w:val="24"/>
          <w:szCs w:val="24"/>
        </w:rPr>
        <w:t>: .....................................................................................................................................................</w:t>
      </w:r>
    </w:p>
    <w:p w:rsidR="00EC1C4C" w:rsidRDefault="00EC1C4C" w:rsidP="00EC1C4C">
      <w:pPr>
        <w:ind w:left="76"/>
        <w:jc w:val="both"/>
        <w:rPr>
          <w:rFonts w:ascii="Times New Roman"/>
          <w:bCs/>
          <w:sz w:val="24"/>
          <w:szCs w:val="24"/>
        </w:rPr>
      </w:pPr>
      <w:r>
        <w:rPr>
          <w:rFonts w:ascii="Times New Roman"/>
          <w:bCs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EC1C4C" w:rsidRDefault="00EC1C4C" w:rsidP="00EC1C4C">
      <w:pPr>
        <w:numPr>
          <w:ilvl w:val="0"/>
          <w:numId w:val="2"/>
        </w:numPr>
        <w:jc w:val="both"/>
        <w:rPr>
          <w:rFonts w:ascii="Times New Roman"/>
          <w:bCs/>
          <w:sz w:val="24"/>
          <w:szCs w:val="24"/>
        </w:rPr>
      </w:pPr>
      <w:r>
        <w:rPr>
          <w:rFonts w:ascii="Times New Roman"/>
          <w:bCs/>
          <w:sz w:val="24"/>
          <w:szCs w:val="24"/>
        </w:rPr>
        <w:t>Bendra įmonės turto balansinė vertė, tūkst. Eur.: .....................................................................................................................................................</w:t>
      </w:r>
    </w:p>
    <w:p w:rsidR="00EC1C4C" w:rsidRDefault="00EC1C4C" w:rsidP="00EC1C4C">
      <w:pPr>
        <w:numPr>
          <w:ilvl w:val="0"/>
          <w:numId w:val="2"/>
        </w:numPr>
        <w:jc w:val="both"/>
        <w:rPr>
          <w:rFonts w:ascii="Times New Roman"/>
          <w:bCs/>
          <w:sz w:val="24"/>
          <w:szCs w:val="24"/>
        </w:rPr>
      </w:pPr>
      <w:r>
        <w:rPr>
          <w:rFonts w:ascii="Times New Roman"/>
          <w:bCs/>
          <w:sz w:val="24"/>
          <w:szCs w:val="24"/>
        </w:rPr>
        <w:t>Darbuotojų skaičius: ...........................................</w:t>
      </w:r>
    </w:p>
    <w:p w:rsidR="00EC1C4C" w:rsidRPr="002B1539" w:rsidRDefault="00EC1C4C" w:rsidP="00EC1C4C">
      <w:pPr>
        <w:numPr>
          <w:ilvl w:val="0"/>
          <w:numId w:val="2"/>
        </w:numPr>
        <w:jc w:val="both"/>
        <w:rPr>
          <w:rFonts w:ascii="Times New Roman"/>
          <w:bCs/>
          <w:sz w:val="24"/>
          <w:szCs w:val="24"/>
        </w:rPr>
      </w:pPr>
      <w:r w:rsidRPr="002B1539">
        <w:rPr>
          <w:rFonts w:ascii="Times New Roman"/>
          <w:bCs/>
          <w:sz w:val="24"/>
          <w:szCs w:val="24"/>
        </w:rPr>
        <w:t>Vertinimo kriterijai: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5"/>
        <w:gridCol w:w="2414"/>
        <w:gridCol w:w="2267"/>
      </w:tblGrid>
      <w:tr w:rsidR="00EC1C4C" w:rsidTr="004D4489">
        <w:trPr>
          <w:cantSplit/>
          <w:trHeight w:val="175"/>
        </w:trPr>
        <w:tc>
          <w:tcPr>
            <w:tcW w:w="49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C1C4C" w:rsidRDefault="00EC1C4C" w:rsidP="004D4489">
            <w:pPr>
              <w:jc w:val="both"/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  <w:t>Pagrindiniai vertinimo kriterijai</w:t>
            </w:r>
          </w:p>
        </w:tc>
        <w:tc>
          <w:tcPr>
            <w:tcW w:w="468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C1C4C" w:rsidRDefault="00EC1C4C" w:rsidP="004D4489">
            <w:pPr>
              <w:jc w:val="both"/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  <w:t>2017 m.</w:t>
            </w:r>
          </w:p>
        </w:tc>
      </w:tr>
      <w:tr w:rsidR="00EC1C4C" w:rsidTr="004D4489">
        <w:trPr>
          <w:cantSplit/>
          <w:trHeight w:val="29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C1C4C" w:rsidRDefault="00EC1C4C" w:rsidP="004D4489">
            <w:pPr>
              <w:spacing w:after="0"/>
              <w:jc w:val="both"/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4C" w:rsidRDefault="00EC1C4C" w:rsidP="004D4489">
            <w:pPr>
              <w:pStyle w:val="Pagrindiniotekstotrauka"/>
              <w:spacing w:before="120"/>
              <w:ind w:left="0"/>
              <w:jc w:val="both"/>
              <w:rPr>
                <w:rFonts w:ascii="Cambria" w:hAnsi="Cambria" w:cs="Tahoma"/>
                <w:b/>
                <w:bCs/>
                <w:i/>
                <w:iCs/>
                <w:sz w:val="24"/>
              </w:rPr>
            </w:pPr>
            <w:r>
              <w:rPr>
                <w:rFonts w:ascii="Cambria" w:hAnsi="Cambria" w:cs="Tahoma"/>
                <w:b/>
                <w:bCs/>
                <w:i/>
                <w:iCs/>
                <w:sz w:val="24"/>
              </w:rPr>
              <w:t>I ketvirtis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C1C4C" w:rsidRDefault="00EC1C4C" w:rsidP="004D4489">
            <w:pPr>
              <w:pStyle w:val="Pagrindiniotekstotrauka"/>
              <w:spacing w:before="120"/>
              <w:ind w:left="0"/>
              <w:jc w:val="both"/>
              <w:rPr>
                <w:rFonts w:ascii="Cambria" w:hAnsi="Cambria" w:cs="Tahoma"/>
                <w:b/>
                <w:bCs/>
                <w:i/>
                <w:iCs/>
                <w:sz w:val="24"/>
              </w:rPr>
            </w:pPr>
            <w:r>
              <w:rPr>
                <w:rFonts w:ascii="Cambria" w:hAnsi="Cambria" w:cs="Tahoma"/>
                <w:b/>
                <w:bCs/>
                <w:i/>
                <w:iCs/>
                <w:sz w:val="24"/>
              </w:rPr>
              <w:t>IV arba III ketvirtis</w:t>
            </w:r>
          </w:p>
        </w:tc>
      </w:tr>
      <w:tr w:rsidR="00EC1C4C" w:rsidTr="004D4489">
        <w:trPr>
          <w:trHeight w:val="335"/>
        </w:trPr>
        <w:tc>
          <w:tcPr>
            <w:tcW w:w="4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C1C4C" w:rsidRDefault="00EC1C4C" w:rsidP="004D4489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Vidutinis mėnesinis darbuotojų atlyginimas (tūkst. Eur)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1C4C" w:rsidRDefault="00EC1C4C" w:rsidP="004D448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1C4C" w:rsidRDefault="00EC1C4C" w:rsidP="004D448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EC1C4C" w:rsidTr="004D4489">
        <w:trPr>
          <w:trHeight w:val="304"/>
        </w:trPr>
        <w:tc>
          <w:tcPr>
            <w:tcW w:w="4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C1C4C" w:rsidRDefault="00EC1C4C" w:rsidP="004D4489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Šalčininkų rajono savivaldybei teikiama parama (Eur)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1C4C" w:rsidRDefault="00EC1C4C" w:rsidP="004D448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1C4C" w:rsidRDefault="00EC1C4C" w:rsidP="004D448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EC1C4C" w:rsidTr="004D4489">
        <w:trPr>
          <w:trHeight w:val="411"/>
        </w:trPr>
        <w:tc>
          <w:tcPr>
            <w:tcW w:w="4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C1C4C" w:rsidRDefault="00EC1C4C" w:rsidP="004D4489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Produkcijos ir paslaugų apimtys, tūkst. Eur už praeitus metus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1C4C" w:rsidRDefault="00EC1C4C" w:rsidP="004D448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1C4C" w:rsidRDefault="00EC1C4C" w:rsidP="004D448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EC1C4C" w:rsidTr="004D4489">
        <w:trPr>
          <w:trHeight w:val="205"/>
        </w:trPr>
        <w:tc>
          <w:tcPr>
            <w:tcW w:w="4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C1C4C" w:rsidRDefault="00EC1C4C" w:rsidP="004D4489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Bendra įmonės turto balansinė vertė,</w:t>
            </w:r>
            <w:r>
              <w:rPr>
                <w:rFonts w:ascii="Times New Roman"/>
                <w:bCs/>
                <w:sz w:val="24"/>
                <w:szCs w:val="24"/>
              </w:rPr>
              <w:t xml:space="preserve"> tūkst. Eur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1C4C" w:rsidRDefault="00EC1C4C" w:rsidP="004D448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1C4C" w:rsidRDefault="00EC1C4C" w:rsidP="004D448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EC1C4C" w:rsidTr="004D4489">
        <w:trPr>
          <w:trHeight w:val="450"/>
        </w:trPr>
        <w:tc>
          <w:tcPr>
            <w:tcW w:w="4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C1C4C" w:rsidRDefault="00EC1C4C" w:rsidP="004D4489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Darbo vietų (vnt.)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1C4C" w:rsidRDefault="00EC1C4C" w:rsidP="004D448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1C4C" w:rsidRDefault="00EC1C4C" w:rsidP="004D448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EC1C4C" w:rsidTr="004D4489">
        <w:trPr>
          <w:trHeight w:val="205"/>
        </w:trPr>
        <w:tc>
          <w:tcPr>
            <w:tcW w:w="4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C1C4C" w:rsidRDefault="00EC1C4C" w:rsidP="004D4489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Investicijų į įmonės plėtrą suma (tūkst. Eur)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C1C4C" w:rsidRDefault="00EC1C4C" w:rsidP="004D448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C1C4C" w:rsidRDefault="00EC1C4C" w:rsidP="004D448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EC1C4C" w:rsidTr="004D4489">
        <w:tc>
          <w:tcPr>
            <w:tcW w:w="4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C1C4C" w:rsidRDefault="00EC1C4C" w:rsidP="004D4489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  <w:lastRenderedPageBreak/>
              <w:t>Papildomi vertinimo kriterijai</w:t>
            </w:r>
          </w:p>
        </w:tc>
        <w:tc>
          <w:tcPr>
            <w:tcW w:w="46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C1C4C" w:rsidRDefault="006562E2" w:rsidP="004D4489">
            <w:pPr>
              <w:jc w:val="both"/>
              <w:rPr>
                <w:rFonts w:ascii="Times New Roman"/>
                <w:sz w:val="24"/>
                <w:szCs w:val="24"/>
              </w:rPr>
            </w:pPr>
            <w:r w:rsidRPr="006562E2"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  <w:t>Pretendentas savo nuožiūra pildo jo manymų svarbią ir atitikimą kriterijui pagrindžiančią informaciją</w:t>
            </w:r>
            <w:r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  <w:t xml:space="preserve"> už 2017 m.</w:t>
            </w:r>
          </w:p>
        </w:tc>
      </w:tr>
      <w:tr w:rsidR="00EC1C4C" w:rsidTr="004D4489">
        <w:trPr>
          <w:trHeight w:val="980"/>
        </w:trPr>
        <w:tc>
          <w:tcPr>
            <w:tcW w:w="4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C1C4C" w:rsidRDefault="00EC1C4C" w:rsidP="004D4489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Darbo sąlygų gerinimas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1C4C" w:rsidRDefault="00EC1C4C" w:rsidP="004D448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EC1C4C" w:rsidTr="004D4489">
        <w:trPr>
          <w:trHeight w:val="852"/>
        </w:trPr>
        <w:tc>
          <w:tcPr>
            <w:tcW w:w="4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C1C4C" w:rsidRDefault="00EC1C4C" w:rsidP="004D4489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Įnašas į rajono socialinę ir ekonominę aplinką (vertinami konkretus padaryti darbai arba skirta lėšų)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1C4C" w:rsidRDefault="00EC1C4C" w:rsidP="004D448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EC1C4C" w:rsidTr="004D4489">
        <w:trPr>
          <w:trHeight w:val="964"/>
        </w:trPr>
        <w:tc>
          <w:tcPr>
            <w:tcW w:w="4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C1C4C" w:rsidRDefault="00EC1C4C" w:rsidP="004D4489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Teigiamo Šalčininkų rajono įvaizdžio kūrimas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1C4C" w:rsidRDefault="00EC1C4C" w:rsidP="004D448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EC1C4C" w:rsidTr="004D4489">
        <w:trPr>
          <w:trHeight w:val="964"/>
        </w:trPr>
        <w:tc>
          <w:tcPr>
            <w:tcW w:w="4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C1C4C" w:rsidRDefault="00EC1C4C" w:rsidP="004D4489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Darbo, paslaugų ir produkcijos kokybės rodikliai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1C4C" w:rsidRDefault="00EC1C4C" w:rsidP="004D448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</w:tbl>
    <w:p w:rsidR="00EC1C4C" w:rsidRDefault="00EC1C4C" w:rsidP="00EC1C4C">
      <w:pPr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Kontaktinis asmuo: </w:t>
      </w:r>
    </w:p>
    <w:p w:rsidR="00EC1C4C" w:rsidRDefault="00EC1C4C" w:rsidP="00EC1C4C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Vardas, pavardė, pareigos: </w:t>
      </w:r>
    </w:p>
    <w:p w:rsidR="00EC1C4C" w:rsidRDefault="00EC1C4C" w:rsidP="00EC1C4C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Telefonas:</w:t>
      </w:r>
    </w:p>
    <w:p w:rsidR="00EC1C4C" w:rsidRDefault="00EC1C4C" w:rsidP="00EC1C4C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Elektroninis paštas: </w:t>
      </w:r>
    </w:p>
    <w:p w:rsidR="00EC1C4C" w:rsidRDefault="00EC1C4C" w:rsidP="00EC1C4C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2018 m. ________________  ______ d.</w:t>
      </w:r>
    </w:p>
    <w:p w:rsidR="00EC1C4C" w:rsidRDefault="00EC1C4C" w:rsidP="00EC1C4C">
      <w:pPr>
        <w:jc w:val="both"/>
        <w:rPr>
          <w:rFonts w:ascii="Times New Roman"/>
          <w:sz w:val="24"/>
          <w:szCs w:val="24"/>
        </w:rPr>
      </w:pPr>
    </w:p>
    <w:p w:rsidR="00EC1C4C" w:rsidRDefault="00EC1C4C" w:rsidP="00EC1C4C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Vadovo parašas ___________________</w:t>
      </w:r>
    </w:p>
    <w:p w:rsidR="00EC1C4C" w:rsidRDefault="00EC1C4C" w:rsidP="00EC1C4C">
      <w:pPr>
        <w:jc w:val="both"/>
        <w:rPr>
          <w:rFonts w:ascii="Times New Roman"/>
          <w:b/>
          <w:bCs/>
          <w:sz w:val="24"/>
          <w:szCs w:val="24"/>
        </w:rPr>
      </w:pPr>
    </w:p>
    <w:p w:rsidR="00EC1C4C" w:rsidRDefault="00EC1C4C" w:rsidP="00EC1C4C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A. V</w:t>
      </w:r>
      <w:r>
        <w:rPr>
          <w:rFonts w:ascii="Times New Roman"/>
          <w:sz w:val="24"/>
          <w:szCs w:val="24"/>
        </w:rPr>
        <w:t>.</w:t>
      </w:r>
    </w:p>
    <w:p w:rsidR="00400002" w:rsidRPr="00EC1C4C" w:rsidRDefault="00400002" w:rsidP="00EC1C4C"/>
    <w:sectPr w:rsidR="00400002" w:rsidRPr="00EC1C4C" w:rsidSect="00393B5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14299"/>
    <w:multiLevelType w:val="hybridMultilevel"/>
    <w:tmpl w:val="A3764F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39D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2B0625"/>
    <w:multiLevelType w:val="hybridMultilevel"/>
    <w:tmpl w:val="EE329038"/>
    <w:lvl w:ilvl="0" w:tplc="28D84B6A">
      <w:start w:val="1"/>
      <w:numFmt w:val="decimal"/>
      <w:lvlText w:val="%1."/>
      <w:lvlJc w:val="left"/>
      <w:pPr>
        <w:ind w:left="1004" w:hanging="360"/>
      </w:p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2A3180D"/>
    <w:multiLevelType w:val="hybridMultilevel"/>
    <w:tmpl w:val="9EA46D9E"/>
    <w:lvl w:ilvl="0" w:tplc="28D84B6A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DD004F"/>
    <w:multiLevelType w:val="hybridMultilevel"/>
    <w:tmpl w:val="3CA880BE"/>
    <w:lvl w:ilvl="0" w:tplc="28D84B6A">
      <w:start w:val="1"/>
      <w:numFmt w:val="decimal"/>
      <w:lvlText w:val="%1."/>
      <w:lvlJc w:val="left"/>
      <w:pPr>
        <w:ind w:left="76" w:hanging="360"/>
      </w:pPr>
    </w:lvl>
    <w:lvl w:ilvl="1" w:tplc="04270019">
      <w:start w:val="1"/>
      <w:numFmt w:val="lowerLetter"/>
      <w:lvlText w:val="%2."/>
      <w:lvlJc w:val="left"/>
      <w:pPr>
        <w:ind w:left="796" w:hanging="360"/>
      </w:pPr>
    </w:lvl>
    <w:lvl w:ilvl="2" w:tplc="0427001B">
      <w:start w:val="1"/>
      <w:numFmt w:val="lowerRoman"/>
      <w:lvlText w:val="%3."/>
      <w:lvlJc w:val="right"/>
      <w:pPr>
        <w:ind w:left="1516" w:hanging="180"/>
      </w:pPr>
    </w:lvl>
    <w:lvl w:ilvl="3" w:tplc="0427000F">
      <w:start w:val="1"/>
      <w:numFmt w:val="decimal"/>
      <w:lvlText w:val="%4."/>
      <w:lvlJc w:val="left"/>
      <w:pPr>
        <w:ind w:left="2236" w:hanging="360"/>
      </w:pPr>
    </w:lvl>
    <w:lvl w:ilvl="4" w:tplc="04270019">
      <w:start w:val="1"/>
      <w:numFmt w:val="lowerLetter"/>
      <w:lvlText w:val="%5."/>
      <w:lvlJc w:val="left"/>
      <w:pPr>
        <w:ind w:left="2956" w:hanging="360"/>
      </w:pPr>
    </w:lvl>
    <w:lvl w:ilvl="5" w:tplc="0427001B">
      <w:start w:val="1"/>
      <w:numFmt w:val="lowerRoman"/>
      <w:lvlText w:val="%6."/>
      <w:lvlJc w:val="right"/>
      <w:pPr>
        <w:ind w:left="3676" w:hanging="180"/>
      </w:pPr>
    </w:lvl>
    <w:lvl w:ilvl="6" w:tplc="0427000F">
      <w:start w:val="1"/>
      <w:numFmt w:val="decimal"/>
      <w:lvlText w:val="%7."/>
      <w:lvlJc w:val="left"/>
      <w:pPr>
        <w:ind w:left="4396" w:hanging="360"/>
      </w:pPr>
    </w:lvl>
    <w:lvl w:ilvl="7" w:tplc="04270019">
      <w:start w:val="1"/>
      <w:numFmt w:val="lowerLetter"/>
      <w:lvlText w:val="%8."/>
      <w:lvlJc w:val="left"/>
      <w:pPr>
        <w:ind w:left="5116" w:hanging="360"/>
      </w:pPr>
    </w:lvl>
    <w:lvl w:ilvl="8" w:tplc="0427001B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F1E24D3"/>
    <w:multiLevelType w:val="hybridMultilevel"/>
    <w:tmpl w:val="2F8EE1B6"/>
    <w:lvl w:ilvl="0" w:tplc="C45A33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ED20D2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B50"/>
    <w:rsid w:val="002B1539"/>
    <w:rsid w:val="00393B50"/>
    <w:rsid w:val="00400002"/>
    <w:rsid w:val="004D3227"/>
    <w:rsid w:val="006562E2"/>
    <w:rsid w:val="00925048"/>
    <w:rsid w:val="00996DE5"/>
    <w:rsid w:val="00A722B5"/>
    <w:rsid w:val="00C86A9D"/>
    <w:rsid w:val="00D62A79"/>
    <w:rsid w:val="00EC1C4C"/>
    <w:rsid w:val="00EF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1127D"/>
  <w15:chartTrackingRefBased/>
  <w15:docId w15:val="{75C40C6E-F19C-402F-A422-817FB85E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93B50"/>
    <w:pPr>
      <w:spacing w:line="256" w:lineRule="auto"/>
    </w:pPr>
    <w:rPr>
      <w:rFonts w:eastAsia="Times New Roman" w:hAnsi="Times New Roman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393B50"/>
    <w:rPr>
      <w:color w:val="0563C1" w:themeColor="hyperlink"/>
      <w:u w:val="single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393B5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393B50"/>
    <w:rPr>
      <w:rFonts w:eastAsia="Times New Roman" w:hAnsi="Times New Roman" w:cs="Times New Roman"/>
      <w:lang w:eastAsia="lt-LT"/>
    </w:rPr>
  </w:style>
  <w:style w:type="paragraph" w:styleId="Sraopastraipa">
    <w:name w:val="List Paragraph"/>
    <w:basedOn w:val="prastasis"/>
    <w:uiPriority w:val="34"/>
    <w:qFormat/>
    <w:rsid w:val="00393B50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C1C4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1C4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1C4C"/>
    <w:rPr>
      <w:rFonts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1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C1C4C"/>
    <w:rPr>
      <w:rFonts w:ascii="Segoe UI" w:eastAsia="Times New Roman" w:hAnsi="Segoe UI" w:cs="Segoe UI"/>
      <w:sz w:val="18"/>
      <w:szCs w:val="18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1C4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1C4C"/>
    <w:rPr>
      <w:rFonts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vest.salcinink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lcininkai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3777</Words>
  <Characters>2154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Agneška Lukaševič</dc:creator>
  <cp:keywords/>
  <dc:description/>
  <cp:lastModifiedBy>Edgar Alkovskij</cp:lastModifiedBy>
  <cp:revision>4</cp:revision>
  <dcterms:created xsi:type="dcterms:W3CDTF">2018-01-03T14:07:00Z</dcterms:created>
  <dcterms:modified xsi:type="dcterms:W3CDTF">2018-01-12T11:05:00Z</dcterms:modified>
</cp:coreProperties>
</file>